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7" w:lineRule="exact"/>
        <w:jc w:val="left"/>
        <w:rPr>
          <w:rFonts w:ascii="方正黑体_GBK" w:hAnsi="方正黑体_GBK" w:eastAsia="方正黑体_GBK" w:cs="方正黑体_GBK"/>
          <w:color w:val="auto"/>
          <w:w w:val="96"/>
          <w:sz w:val="32"/>
          <w:szCs w:val="32"/>
        </w:rPr>
      </w:pPr>
      <w:r>
        <w:rPr>
          <w:rFonts w:hint="eastAsia" w:ascii="方正黑体_GBK" w:hAnsi="方正黑体_GBK" w:eastAsia="方正黑体_GBK" w:cs="方正黑体_GBK"/>
          <w:color w:val="auto"/>
          <w:w w:val="96"/>
          <w:sz w:val="32"/>
          <w:szCs w:val="32"/>
        </w:rPr>
        <w:t>附件2</w:t>
      </w:r>
    </w:p>
    <w:p>
      <w:pPr>
        <w:spacing w:line="587" w:lineRule="exact"/>
        <w:jc w:val="center"/>
        <w:rPr>
          <w:rFonts w:eastAsia="方正仿宋_GBK" w:cs="Times New Roman"/>
          <w:color w:val="auto"/>
          <w:w w:val="96"/>
          <w:sz w:val="44"/>
          <w:szCs w:val="44"/>
        </w:rPr>
      </w:pPr>
    </w:p>
    <w:p>
      <w:pPr>
        <w:spacing w:line="587" w:lineRule="exact"/>
        <w:jc w:val="center"/>
        <w:rPr>
          <w:rFonts w:eastAsia="方正小标宋_GBK" w:cs="Times New Roman"/>
          <w:color w:val="auto"/>
          <w:w w:val="96"/>
          <w:sz w:val="44"/>
          <w:szCs w:val="44"/>
        </w:rPr>
      </w:pPr>
      <w:r>
        <w:rPr>
          <w:rFonts w:eastAsia="方正小标宋_GBK" w:cs="Times New Roman"/>
          <w:w w:val="100"/>
          <w:kern w:val="2"/>
          <w:sz w:val="44"/>
          <w:szCs w:val="44"/>
        </w:rPr>
        <w:t>2023</w:t>
      </w:r>
      <w:r>
        <w:rPr>
          <w:rFonts w:eastAsia="方正小标宋_GBK" w:cs="Times New Roman"/>
          <w:color w:val="auto"/>
          <w:w w:val="100"/>
          <w:sz w:val="44"/>
          <w:szCs w:val="44"/>
        </w:rPr>
        <w:t>年</w:t>
      </w:r>
      <w:r>
        <w:rPr>
          <w:rFonts w:hint="eastAsia" w:eastAsia="方正小标宋_GBK" w:cs="Times New Roman"/>
          <w:color w:val="auto"/>
          <w:w w:val="100"/>
          <w:sz w:val="44"/>
          <w:szCs w:val="44"/>
          <w:lang w:val="en-US" w:eastAsia="zh-CN"/>
        </w:rPr>
        <w:t>江苏</w:t>
      </w:r>
      <w:r>
        <w:rPr>
          <w:rFonts w:hint="eastAsia" w:eastAsia="方正小标宋_GBK" w:cs="Times New Roman"/>
          <w:color w:val="auto"/>
          <w:w w:val="100"/>
          <w:sz w:val="44"/>
          <w:szCs w:val="44"/>
        </w:rPr>
        <w:t>省</w:t>
      </w:r>
      <w:r>
        <w:rPr>
          <w:rFonts w:eastAsia="方正小标宋_GBK" w:cs="Times New Roman"/>
          <w:color w:val="auto"/>
          <w:w w:val="100"/>
          <w:sz w:val="44"/>
          <w:szCs w:val="44"/>
        </w:rPr>
        <w:t>公共信用信息工作</w:t>
      </w:r>
      <w:r>
        <w:rPr>
          <w:rFonts w:hint="eastAsia" w:eastAsia="方正小标宋_GBK" w:cs="Times New Roman"/>
          <w:color w:val="auto"/>
          <w:w w:val="100"/>
          <w:sz w:val="44"/>
          <w:szCs w:val="44"/>
        </w:rPr>
        <w:t>要点</w:t>
      </w:r>
    </w:p>
    <w:p>
      <w:pPr>
        <w:spacing w:line="587" w:lineRule="exact"/>
        <w:jc w:val="center"/>
        <w:rPr>
          <w:rFonts w:eastAsia="方正小标宋_GBK" w:cs="Times New Roman"/>
          <w:color w:val="auto"/>
          <w:w w:val="96"/>
          <w:sz w:val="44"/>
          <w:szCs w:val="44"/>
        </w:rPr>
      </w:pPr>
    </w:p>
    <w:p>
      <w:pPr>
        <w:adjustRightInd w:val="0"/>
        <w:snapToGrid w:val="0"/>
        <w:spacing w:line="587" w:lineRule="exact"/>
        <w:ind w:firstLine="640" w:firstLineChars="200"/>
        <w:rPr>
          <w:rFonts w:eastAsia="方正仿宋_GBK" w:cs="Times New Roman"/>
          <w:color w:val="auto"/>
          <w:sz w:val="32"/>
          <w:szCs w:val="32"/>
        </w:rPr>
      </w:pPr>
      <w:r>
        <w:rPr>
          <w:rFonts w:hint="eastAsia" w:eastAsia="方正仿宋_GBK" w:cs="Times New Roman"/>
          <w:color w:val="auto"/>
          <w:sz w:val="32"/>
          <w:szCs w:val="32"/>
        </w:rPr>
        <w:t>2023年，全省公共信用信息工作以习近平新时代中国特色社会主义思想为指导，全面贯彻</w:t>
      </w:r>
      <w:bookmarkStart w:id="0" w:name="_GoBack"/>
      <w:bookmarkEnd w:id="0"/>
      <w:r>
        <w:rPr>
          <w:rFonts w:hint="eastAsia" w:eastAsia="方正仿宋_GBK" w:cs="Times New Roman"/>
          <w:color w:val="auto"/>
          <w:sz w:val="32"/>
          <w:szCs w:val="32"/>
        </w:rPr>
        <w:t>党的二十大精神，紧扣法治化、高质量发展要求，</w:t>
      </w:r>
      <w:r>
        <w:rPr>
          <w:rFonts w:eastAsia="方正仿宋_GBK" w:cs="Times New Roman"/>
          <w:color w:val="auto"/>
          <w:sz w:val="32"/>
          <w:szCs w:val="32"/>
        </w:rPr>
        <w:t>依法、规范、科学</w:t>
      </w:r>
      <w:r>
        <w:rPr>
          <w:rFonts w:hint="eastAsia" w:eastAsia="方正仿宋_GBK" w:cs="Times New Roman"/>
          <w:color w:val="auto"/>
          <w:sz w:val="32"/>
          <w:szCs w:val="32"/>
        </w:rPr>
        <w:t>地推动公共信用信息系统建设和运行，以公共信用信息系统建设高水平发展全面支撑社会信用体系建设高质量发展，为服务促进形成新发展格局提供有力支撑。</w:t>
      </w:r>
    </w:p>
    <w:p>
      <w:pPr>
        <w:pStyle w:val="18"/>
        <w:numPr>
          <w:ilvl w:val="255"/>
          <w:numId w:val="0"/>
        </w:numPr>
        <w:spacing w:line="587" w:lineRule="exact"/>
        <w:ind w:left="720"/>
        <w:rPr>
          <w:rFonts w:ascii="方正黑体_GBK" w:eastAsia="方正黑体_GBK"/>
          <w:color w:val="auto"/>
          <w:sz w:val="32"/>
          <w:szCs w:val="32"/>
        </w:rPr>
      </w:pPr>
      <w:r>
        <w:rPr>
          <w:rFonts w:hint="eastAsia" w:ascii="方正黑体_GBK" w:eastAsia="方正黑体_GBK"/>
          <w:color w:val="auto"/>
          <w:sz w:val="32"/>
          <w:szCs w:val="32"/>
        </w:rPr>
        <w:t>一、夯实系统建设基础，支撑信用基础设施建设</w:t>
      </w:r>
    </w:p>
    <w:p>
      <w:pPr>
        <w:numPr>
          <w:ilvl w:val="0"/>
          <w:numId w:val="1"/>
        </w:numPr>
        <w:spacing w:line="587" w:lineRule="exact"/>
        <w:ind w:firstLine="640"/>
        <w:rPr>
          <w:rFonts w:eastAsia="方正仿宋_GBK" w:cs="Times New Roman"/>
          <w:color w:val="auto"/>
          <w:sz w:val="32"/>
          <w:szCs w:val="32"/>
        </w:rPr>
      </w:pPr>
      <w:r>
        <w:rPr>
          <w:rFonts w:hint="eastAsia" w:ascii="方正楷体_GBK"/>
          <w:color w:val="auto"/>
          <w:sz w:val="32"/>
          <w:szCs w:val="32"/>
        </w:rPr>
        <w:t>打造全国中小企业融资综合信用服务平台江苏省级节点。</w:t>
      </w:r>
      <w:r>
        <w:rPr>
          <w:rFonts w:hint="eastAsia" w:eastAsia="方正仿宋_GBK" w:cs="Times New Roman"/>
          <w:color w:val="auto"/>
          <w:sz w:val="32"/>
          <w:szCs w:val="32"/>
        </w:rPr>
        <w:t>落实《国务院办公厅关于印发加强信用信息共享应用促进中小微企业融资实施方案的通知》《江苏省加强信用信息共享应用促进中小微企业融资若干措施》要求，按照省发展改革委工作部署，</w:t>
      </w:r>
      <w:r>
        <w:rPr>
          <w:rFonts w:hint="eastAsia" w:ascii="方正黑体_GBK" w:eastAsia="方正黑体_GBK"/>
          <w:color w:val="auto"/>
          <w:sz w:val="32"/>
          <w:szCs w:val="32"/>
        </w:rPr>
        <w:t>一是</w:t>
      </w:r>
      <w:r>
        <w:rPr>
          <w:rFonts w:hint="eastAsia" w:eastAsia="方正仿宋_GBK" w:cs="Times New Roman"/>
          <w:color w:val="auto"/>
          <w:sz w:val="32"/>
          <w:szCs w:val="32"/>
        </w:rPr>
        <w:t>向省政府申请项目立项，获批复后启动省级节点项目建设，拓展数据物理采集，开发接口调用、数据核验等功能，构建融资信用服务数据库，形成全省融资信用信息“中转站”。</w:t>
      </w:r>
      <w:r>
        <w:rPr>
          <w:rFonts w:hint="eastAsia" w:ascii="方正黑体_GBK" w:eastAsia="方正黑体_GBK"/>
          <w:color w:val="auto"/>
          <w:sz w:val="32"/>
          <w:szCs w:val="32"/>
        </w:rPr>
        <w:t>二是</w:t>
      </w:r>
      <w:r>
        <w:rPr>
          <w:rFonts w:hint="eastAsia" w:eastAsia="方正仿宋_GBK" w:cs="Times New Roman"/>
          <w:color w:val="auto"/>
          <w:sz w:val="32"/>
          <w:szCs w:val="32"/>
        </w:rPr>
        <w:t>有序推进省内各融资信用服务平台接入全国融资信用服务平台，开发建设统一授权管理模块，组织各融资信用服务平台开展注册企业身份认证和授权动态管理</w:t>
      </w:r>
      <w:r>
        <w:rPr>
          <w:rFonts w:hint="eastAsia" w:eastAsia="方正仿宋_GBK"/>
          <w:color w:val="auto"/>
          <w:sz w:val="32"/>
          <w:szCs w:val="32"/>
        </w:rPr>
        <w:t>。</w:t>
      </w:r>
      <w:r>
        <w:rPr>
          <w:rFonts w:hint="eastAsia" w:ascii="方正黑体_GBK" w:eastAsia="方正黑体_GBK"/>
          <w:color w:val="auto"/>
          <w:sz w:val="32"/>
          <w:szCs w:val="32"/>
        </w:rPr>
        <w:t>三是</w:t>
      </w:r>
      <w:r>
        <w:rPr>
          <w:rFonts w:hint="eastAsia" w:eastAsia="方正仿宋_GBK" w:cs="Times New Roman"/>
          <w:color w:val="auto"/>
          <w:sz w:val="32"/>
          <w:szCs w:val="32"/>
        </w:rPr>
        <w:t>各设区市加强对地方融资信用服务平台的监督管理，规范访问省级节点，为中小微企业融资信用服务提供有力支撑。</w:t>
      </w:r>
    </w:p>
    <w:p>
      <w:pPr>
        <w:numPr>
          <w:ilvl w:val="0"/>
          <w:numId w:val="1"/>
        </w:numPr>
        <w:spacing w:line="587" w:lineRule="exact"/>
        <w:ind w:firstLine="640"/>
        <w:rPr>
          <w:rFonts w:eastAsia="方正仿宋_GBK" w:cs="Times New Roman"/>
          <w:color w:val="auto"/>
          <w:sz w:val="32"/>
          <w:szCs w:val="32"/>
        </w:rPr>
      </w:pPr>
      <w:r>
        <w:rPr>
          <w:rFonts w:hint="eastAsia" w:ascii="方正楷体_GBK"/>
          <w:color w:val="auto"/>
          <w:sz w:val="32"/>
          <w:szCs w:val="32"/>
        </w:rPr>
        <w:t>深化省市信用信息系统一体化建设。</w:t>
      </w:r>
      <w:r>
        <w:rPr>
          <w:rFonts w:hint="eastAsia" w:eastAsia="方正仿宋_GBK" w:cs="Times New Roman"/>
          <w:color w:val="auto"/>
          <w:sz w:val="32"/>
          <w:szCs w:val="32"/>
        </w:rPr>
        <w:t>年内基本实现各设区市与省信用信息资源管控平台的一体化对接，全面提升全省公共信用信息归集、处理、共享、应用的支撑能力，统一全省基础应用，支撑各地拓展特色应用。推动实现省内信用修复、异议处理、信息更正等业务线上协同</w:t>
      </w:r>
      <w:r>
        <w:rPr>
          <w:rFonts w:eastAsia="方正仿宋_GBK" w:cs="Times New Roman"/>
          <w:color w:val="auto"/>
          <w:sz w:val="32"/>
          <w:szCs w:val="32"/>
        </w:rPr>
        <w:t>管理</w:t>
      </w:r>
      <w:r>
        <w:rPr>
          <w:rFonts w:hint="eastAsia" w:eastAsia="方正仿宋_GBK" w:cs="Times New Roman"/>
          <w:color w:val="auto"/>
          <w:sz w:val="32"/>
          <w:szCs w:val="32"/>
        </w:rPr>
        <w:t>。</w:t>
      </w:r>
    </w:p>
    <w:p>
      <w:pPr>
        <w:numPr>
          <w:ilvl w:val="0"/>
          <w:numId w:val="1"/>
        </w:numPr>
        <w:spacing w:line="587" w:lineRule="exact"/>
        <w:ind w:firstLine="640"/>
        <w:rPr>
          <w:rFonts w:eastAsia="方正仿宋_GBK" w:cs="Times New Roman"/>
          <w:color w:val="auto"/>
          <w:sz w:val="32"/>
          <w:szCs w:val="32"/>
        </w:rPr>
      </w:pPr>
      <w:r>
        <w:rPr>
          <w:rFonts w:hint="eastAsia" w:ascii="方正楷体_GBK"/>
          <w:color w:val="auto"/>
          <w:sz w:val="32"/>
          <w:szCs w:val="32"/>
        </w:rPr>
        <w:t>强化公共信用信息系统支撑。</w:t>
      </w:r>
      <w:r>
        <w:rPr>
          <w:rFonts w:hint="eastAsia" w:ascii="方正黑体_GBK" w:eastAsia="方正黑体_GBK" w:cs="Times New Roman"/>
          <w:color w:val="auto"/>
          <w:sz w:val="32"/>
          <w:szCs w:val="32"/>
        </w:rPr>
        <w:t>一是</w:t>
      </w:r>
      <w:r>
        <w:rPr>
          <w:rFonts w:hint="eastAsia" w:eastAsia="方正仿宋_GBK"/>
          <w:color w:val="auto"/>
          <w:sz w:val="32"/>
          <w:szCs w:val="32"/>
        </w:rPr>
        <w:t>围绕省市一体化系统建设与实施过程中产生的新需求，研究编制系统升级拓展方案，优化和拓展系统现有功能。</w:t>
      </w:r>
      <w:r>
        <w:rPr>
          <w:rFonts w:hint="eastAsia" w:ascii="方正黑体_GBK" w:eastAsia="方正黑体_GBK" w:cs="Times New Roman"/>
          <w:color w:val="auto"/>
          <w:sz w:val="32"/>
          <w:szCs w:val="32"/>
        </w:rPr>
        <w:t>二是</w:t>
      </w:r>
      <w:r>
        <w:rPr>
          <w:rFonts w:hint="eastAsia" w:eastAsia="方正仿宋_GBK"/>
          <w:color w:val="auto"/>
          <w:sz w:val="32"/>
          <w:szCs w:val="32"/>
        </w:rPr>
        <w:t>基于</w:t>
      </w:r>
      <w:r>
        <w:rPr>
          <w:rFonts w:hint="eastAsia" w:eastAsia="方正仿宋_GBK" w:cs="Times New Roman"/>
          <w:color w:val="auto"/>
          <w:sz w:val="32"/>
          <w:szCs w:val="32"/>
        </w:rPr>
        <w:t>省级部门</w:t>
      </w:r>
      <w:r>
        <w:rPr>
          <w:rFonts w:hint="eastAsia" w:eastAsia="方正仿宋_GBK"/>
          <w:color w:val="auto"/>
          <w:sz w:val="32"/>
          <w:szCs w:val="32"/>
        </w:rPr>
        <w:t>应用需求，</w:t>
      </w:r>
      <w:r>
        <w:rPr>
          <w:rFonts w:hint="eastAsia" w:eastAsia="方正仿宋_GBK" w:cs="Times New Roman"/>
          <w:color w:val="auto"/>
          <w:sz w:val="32"/>
          <w:szCs w:val="32"/>
        </w:rPr>
        <w:t>强化系统功能支撑，实现</w:t>
      </w:r>
      <w:r>
        <w:rPr>
          <w:rFonts w:hint="eastAsia" w:eastAsia="方正仿宋_GBK"/>
          <w:color w:val="auto"/>
          <w:sz w:val="32"/>
          <w:szCs w:val="32"/>
        </w:rPr>
        <w:t>省</w:t>
      </w:r>
      <w:r>
        <w:rPr>
          <w:rFonts w:hint="eastAsia" w:eastAsia="方正仿宋_GBK" w:cs="Times New Roman"/>
          <w:color w:val="auto"/>
          <w:sz w:val="32"/>
          <w:szCs w:val="32"/>
        </w:rPr>
        <w:t>信用信息资源管控平台</w:t>
      </w:r>
      <w:r>
        <w:rPr>
          <w:rFonts w:hint="eastAsia" w:eastAsia="方正仿宋_GBK"/>
          <w:color w:val="auto"/>
          <w:sz w:val="32"/>
          <w:szCs w:val="32"/>
        </w:rPr>
        <w:t>与省级部门自动化对接和</w:t>
      </w:r>
      <w:r>
        <w:rPr>
          <w:rFonts w:hint="eastAsia" w:eastAsia="方正仿宋_GBK" w:cs="Times New Roman"/>
          <w:color w:val="auto"/>
          <w:sz w:val="32"/>
          <w:szCs w:val="32"/>
        </w:rPr>
        <w:t>数据共享，</w:t>
      </w:r>
      <w:r>
        <w:rPr>
          <w:rFonts w:hint="eastAsia" w:eastAsia="方正仿宋_GBK"/>
          <w:color w:val="auto"/>
          <w:sz w:val="32"/>
          <w:szCs w:val="32"/>
        </w:rPr>
        <w:t>支撑行业信用监管与服务。</w:t>
      </w:r>
      <w:r>
        <w:rPr>
          <w:rFonts w:hint="eastAsia" w:ascii="方正黑体_GBK" w:eastAsia="方正黑体_GBK" w:cs="Times New Roman"/>
          <w:color w:val="auto"/>
          <w:sz w:val="32"/>
          <w:szCs w:val="32"/>
        </w:rPr>
        <w:t>三是</w:t>
      </w:r>
      <w:r>
        <w:rPr>
          <w:rFonts w:hint="eastAsia" w:eastAsia="方正仿宋_GBK"/>
          <w:color w:val="auto"/>
          <w:sz w:val="32"/>
          <w:szCs w:val="32"/>
        </w:rPr>
        <w:t>加快推进省信用大数据平台建设和验收工作，完善</w:t>
      </w:r>
      <w:r>
        <w:rPr>
          <w:rFonts w:hint="eastAsia" w:eastAsia="方正仿宋_GBK" w:cs="Times New Roman"/>
          <w:color w:val="auto"/>
          <w:sz w:val="32"/>
          <w:szCs w:val="32"/>
        </w:rPr>
        <w:t>系统中</w:t>
      </w:r>
      <w:r>
        <w:rPr>
          <w:rFonts w:hint="eastAsia" w:eastAsia="方正仿宋_GBK"/>
          <w:color w:val="auto"/>
          <w:sz w:val="32"/>
          <w:szCs w:val="32"/>
        </w:rPr>
        <w:t>政府部门信用管理相关功能，支撑全省政务诚信建设。</w:t>
      </w:r>
    </w:p>
    <w:p>
      <w:pPr>
        <w:numPr>
          <w:ilvl w:val="0"/>
          <w:numId w:val="1"/>
        </w:numPr>
        <w:spacing w:line="587" w:lineRule="exact"/>
        <w:ind w:firstLine="640"/>
        <w:rPr>
          <w:rFonts w:eastAsia="方正仿宋_GBK" w:cs="Times New Roman"/>
          <w:color w:val="auto"/>
          <w:sz w:val="32"/>
          <w:szCs w:val="32"/>
        </w:rPr>
      </w:pPr>
      <w:r>
        <w:rPr>
          <w:rFonts w:hint="eastAsia" w:ascii="方正楷体_GBK"/>
          <w:color w:val="auto"/>
          <w:sz w:val="32"/>
          <w:szCs w:val="32"/>
        </w:rPr>
        <w:t>升级改造“信用江苏”网站。</w:t>
      </w:r>
      <w:r>
        <w:rPr>
          <w:rFonts w:hint="eastAsia" w:eastAsia="方正仿宋_GBK"/>
          <w:color w:val="auto"/>
          <w:sz w:val="32"/>
          <w:szCs w:val="32"/>
        </w:rPr>
        <w:t>按照省信用办工作部署和要求，</w:t>
      </w:r>
      <w:r>
        <w:rPr>
          <w:rFonts w:hint="eastAsia" w:ascii="方正黑体_GBK" w:eastAsia="方正黑体_GBK" w:cs="Times New Roman"/>
          <w:color w:val="auto"/>
          <w:sz w:val="32"/>
          <w:szCs w:val="32"/>
        </w:rPr>
        <w:t>一是</w:t>
      </w:r>
      <w:r>
        <w:rPr>
          <w:rFonts w:hint="eastAsia" w:eastAsia="方正仿宋_GBK" w:cs="Times New Roman"/>
          <w:color w:val="auto"/>
          <w:sz w:val="32"/>
          <w:szCs w:val="32"/>
        </w:rPr>
        <w:t>进一步优化调整网站栏目设置，增设“县级地区创新信用管理与服务”专栏和其他特色公示专栏，加强内容发布和公示。</w:t>
      </w:r>
      <w:r>
        <w:rPr>
          <w:rFonts w:hint="eastAsia" w:ascii="方正黑体_GBK" w:eastAsia="方正黑体_GBK" w:cs="Times New Roman"/>
          <w:color w:val="auto"/>
          <w:sz w:val="32"/>
          <w:szCs w:val="32"/>
        </w:rPr>
        <w:t>二是</w:t>
      </w:r>
      <w:r>
        <w:rPr>
          <w:rFonts w:hint="eastAsia" w:eastAsia="方正仿宋_GBK" w:cs="Times New Roman"/>
          <w:color w:val="auto"/>
          <w:sz w:val="32"/>
          <w:szCs w:val="32"/>
        </w:rPr>
        <w:t>拓展国家、省、市一体化和特色化相结合的信用信息应用服务功能，形成统一风格、统一信用信息查询窗口与公示专栏。</w:t>
      </w:r>
      <w:r>
        <w:rPr>
          <w:rFonts w:hint="eastAsia" w:ascii="方正黑体_GBK" w:eastAsia="方正黑体_GBK" w:cs="Times New Roman"/>
          <w:color w:val="auto"/>
          <w:sz w:val="32"/>
          <w:szCs w:val="32"/>
        </w:rPr>
        <w:t>三是</w:t>
      </w:r>
      <w:r>
        <w:rPr>
          <w:rFonts w:hint="eastAsia" w:eastAsia="方正仿宋_GBK" w:cs="Times New Roman"/>
          <w:color w:val="auto"/>
          <w:sz w:val="32"/>
          <w:szCs w:val="32"/>
        </w:rPr>
        <w:t>改造省政务服务平台实名注册用户空间，支持信用报告授权、下载、异议申请、材料查询以及失信信息提醒、资质证书到期提示等个性化服务。</w:t>
      </w:r>
      <w:r>
        <w:rPr>
          <w:rFonts w:hint="eastAsia" w:ascii="方正黑体_GBK" w:eastAsia="方正黑体_GBK" w:cs="Times New Roman"/>
          <w:color w:val="auto"/>
          <w:sz w:val="32"/>
          <w:szCs w:val="32"/>
        </w:rPr>
        <w:t>四是</w:t>
      </w:r>
      <w:r>
        <w:rPr>
          <w:rFonts w:hint="eastAsia" w:eastAsia="方正仿宋_GBK"/>
          <w:color w:val="auto"/>
          <w:sz w:val="32"/>
          <w:szCs w:val="32"/>
        </w:rPr>
        <w:t>各级信用门户网站加强意识形态管理，优化网站智能审核功能，以“技术+管理”有效维护意识形态安全。</w:t>
      </w:r>
    </w:p>
    <w:p>
      <w:pPr>
        <w:spacing w:line="587" w:lineRule="exact"/>
        <w:ind w:firstLine="640" w:firstLineChars="200"/>
        <w:rPr>
          <w:rFonts w:eastAsia="方正黑体_GBK" w:cs="Times New Roman"/>
          <w:color w:val="auto"/>
          <w:sz w:val="32"/>
          <w:szCs w:val="32"/>
        </w:rPr>
      </w:pPr>
      <w:r>
        <w:rPr>
          <w:rFonts w:hint="eastAsia" w:eastAsia="方正黑体_GBK" w:cs="Times New Roman"/>
          <w:color w:val="auto"/>
          <w:sz w:val="32"/>
          <w:szCs w:val="32"/>
        </w:rPr>
        <w:t>二</w:t>
      </w:r>
      <w:r>
        <w:rPr>
          <w:rFonts w:eastAsia="方正黑体_GBK" w:cs="Times New Roman"/>
          <w:color w:val="auto"/>
          <w:sz w:val="32"/>
          <w:szCs w:val="32"/>
        </w:rPr>
        <w:t>、</w:t>
      </w:r>
      <w:r>
        <w:rPr>
          <w:rFonts w:hint="eastAsia" w:eastAsia="方正黑体_GBK" w:cs="Times New Roman"/>
          <w:color w:val="auto"/>
          <w:sz w:val="32"/>
          <w:szCs w:val="32"/>
        </w:rPr>
        <w:t>深化信用信息归集，支撑信用信息共建共享</w:t>
      </w:r>
    </w:p>
    <w:p>
      <w:pPr>
        <w:numPr>
          <w:ilvl w:val="0"/>
          <w:numId w:val="1"/>
        </w:numPr>
        <w:spacing w:line="587" w:lineRule="exact"/>
        <w:ind w:firstLine="640" w:firstLineChars="200"/>
        <w:rPr>
          <w:rFonts w:eastAsia="方正仿宋_GBK" w:cs="Times New Roman"/>
          <w:color w:val="auto"/>
          <w:sz w:val="32"/>
          <w:szCs w:val="32"/>
        </w:rPr>
      </w:pPr>
      <w:r>
        <w:rPr>
          <w:rFonts w:hint="eastAsia" w:ascii="方正楷体_GBK"/>
          <w:color w:val="auto"/>
          <w:sz w:val="32"/>
          <w:szCs w:val="32"/>
        </w:rPr>
        <w:t>规范信用信息目录管理。</w:t>
      </w:r>
      <w:r>
        <w:rPr>
          <w:rFonts w:hint="eastAsia" w:eastAsia="方正仿宋_GBK" w:cs="Times New Roman"/>
          <w:color w:val="auto"/>
          <w:sz w:val="32"/>
          <w:szCs w:val="32"/>
        </w:rPr>
        <w:t>依据全国公共信用信息基础目录和省公共信用信息补充目录，编制《江苏省公共信用信息归集目录规范》，明确各部门各地区信用信息共享事项。</w:t>
      </w:r>
    </w:p>
    <w:p>
      <w:pPr>
        <w:numPr>
          <w:ilvl w:val="0"/>
          <w:numId w:val="1"/>
        </w:numPr>
        <w:spacing w:line="587" w:lineRule="exact"/>
        <w:ind w:firstLine="640" w:firstLineChars="200"/>
        <w:rPr>
          <w:rFonts w:ascii="方正楷体_GBK"/>
          <w:color w:val="auto"/>
          <w:sz w:val="32"/>
          <w:szCs w:val="32"/>
        </w:rPr>
      </w:pPr>
      <w:r>
        <w:rPr>
          <w:rFonts w:hint="eastAsia" w:ascii="方正楷体_GBK"/>
          <w:color w:val="auto"/>
          <w:sz w:val="32"/>
          <w:szCs w:val="32"/>
        </w:rPr>
        <w:t>依法依规开展信息归集。</w:t>
      </w:r>
      <w:r>
        <w:rPr>
          <w:rFonts w:hint="eastAsia" w:eastAsia="方正仿宋_GBK" w:cs="Times New Roman"/>
          <w:color w:val="auto"/>
          <w:sz w:val="32"/>
          <w:szCs w:val="32"/>
        </w:rPr>
        <w:t>依法依规推动信用信息应归尽归、应报尽报。</w:t>
      </w:r>
      <w:r>
        <w:rPr>
          <w:rFonts w:hint="eastAsia" w:ascii="方正黑体_GBK" w:eastAsia="方正黑体_GBK" w:cs="Times New Roman"/>
          <w:color w:val="auto"/>
          <w:sz w:val="32"/>
          <w:szCs w:val="32"/>
        </w:rPr>
        <w:t>一是</w:t>
      </w:r>
      <w:r>
        <w:rPr>
          <w:rFonts w:hint="eastAsia" w:eastAsia="方正仿宋_GBK" w:cs="Times New Roman"/>
          <w:color w:val="auto"/>
          <w:sz w:val="32"/>
          <w:szCs w:val="32"/>
        </w:rPr>
        <w:t>加强纳税、生态环境、不动产、水电气缴纳、科技研发、新型农业经营主体等信息归集共享。</w:t>
      </w:r>
      <w:r>
        <w:rPr>
          <w:rFonts w:hint="eastAsia" w:ascii="方正黑体_GBK" w:eastAsia="方正黑体_GBK" w:cs="Times New Roman"/>
          <w:color w:val="auto"/>
          <w:sz w:val="32"/>
          <w:szCs w:val="32"/>
        </w:rPr>
        <w:t>二是</w:t>
      </w:r>
      <w:r>
        <w:rPr>
          <w:rFonts w:hint="eastAsia" w:eastAsia="方正仿宋_GBK" w:cs="Times New Roman"/>
          <w:color w:val="auto"/>
          <w:sz w:val="32"/>
          <w:szCs w:val="32"/>
        </w:rPr>
        <w:t>持续加强行政许可、行政处罚、行政强制、行政奖励、行政确认、行政裁决、行政监督检查等行政管理信息的标准化归集。</w:t>
      </w:r>
      <w:r>
        <w:rPr>
          <w:rFonts w:hint="eastAsia" w:ascii="方正黑体_GBK" w:eastAsia="方正黑体_GBK" w:cs="Times New Roman"/>
          <w:color w:val="auto"/>
          <w:sz w:val="32"/>
          <w:szCs w:val="32"/>
        </w:rPr>
        <w:t>三是</w:t>
      </w:r>
      <w:r>
        <w:rPr>
          <w:rFonts w:hint="eastAsia" w:eastAsia="方正仿宋_GBK" w:cs="Times New Roman"/>
          <w:color w:val="auto"/>
          <w:sz w:val="32"/>
          <w:szCs w:val="32"/>
        </w:rPr>
        <w:t>鼓励市场主体自主申报资质证照、生产经营、合同履约、表彰奖励、社会公益等信息。</w:t>
      </w:r>
      <w:r>
        <w:rPr>
          <w:rFonts w:hint="eastAsia" w:ascii="方正黑体_GBK" w:eastAsia="方正黑体_GBK" w:cs="Times New Roman"/>
          <w:color w:val="auto"/>
          <w:sz w:val="32"/>
          <w:szCs w:val="32"/>
        </w:rPr>
        <w:t>四是</w:t>
      </w:r>
      <w:r>
        <w:rPr>
          <w:rFonts w:hint="eastAsia" w:eastAsia="方正仿宋_GBK" w:cs="Times New Roman"/>
          <w:color w:val="auto"/>
          <w:sz w:val="32"/>
          <w:szCs w:val="32"/>
        </w:rPr>
        <w:t>加强与省公共数据平台</w:t>
      </w:r>
      <w:r>
        <w:rPr>
          <w:rFonts w:hint="eastAsia" w:eastAsia="方正仿宋_GBK" w:cs="Times New Roman"/>
          <w:color w:val="auto"/>
          <w:sz w:val="32"/>
          <w:szCs w:val="32"/>
          <w:lang w:val="en-US" w:eastAsia="zh-CN"/>
        </w:rPr>
        <w:t>对接，及时将信用信息向省公共数据平台汇聚共享</w:t>
      </w:r>
      <w:r>
        <w:rPr>
          <w:rFonts w:hint="eastAsia" w:eastAsia="方正仿宋_GBK" w:cs="Times New Roman"/>
          <w:color w:val="auto"/>
          <w:sz w:val="32"/>
          <w:szCs w:val="32"/>
        </w:rPr>
        <w:t>。</w:t>
      </w:r>
    </w:p>
    <w:p>
      <w:pPr>
        <w:numPr>
          <w:ilvl w:val="0"/>
          <w:numId w:val="1"/>
        </w:numPr>
        <w:spacing w:line="587" w:lineRule="exact"/>
        <w:ind w:firstLine="640" w:firstLineChars="200"/>
        <w:rPr>
          <w:rFonts w:eastAsia="方正仿宋_GBK" w:cs="Times New Roman"/>
          <w:color w:val="auto"/>
          <w:sz w:val="32"/>
          <w:szCs w:val="32"/>
        </w:rPr>
      </w:pPr>
      <w:r>
        <w:rPr>
          <w:rFonts w:hint="eastAsia" w:cs="Times New Roman"/>
          <w:color w:val="auto"/>
          <w:sz w:val="32"/>
          <w:szCs w:val="32"/>
        </w:rPr>
        <w:t>全面提升数据质量。</w:t>
      </w:r>
      <w:r>
        <w:rPr>
          <w:rFonts w:hint="eastAsia" w:ascii="方正黑体_GBK" w:eastAsia="方正黑体_GBK" w:cs="Times New Roman"/>
          <w:color w:val="auto"/>
          <w:sz w:val="32"/>
          <w:szCs w:val="32"/>
        </w:rPr>
        <w:t>一是</w:t>
      </w:r>
      <w:r>
        <w:rPr>
          <w:rFonts w:hint="eastAsia" w:eastAsia="方正仿宋_GBK" w:cs="Times New Roman"/>
          <w:color w:val="auto"/>
          <w:sz w:val="32"/>
          <w:szCs w:val="32"/>
        </w:rPr>
        <w:t>深入实施“信息归集质量提升工程”，加强源头数据质量控制，确保总体信息入库率不低于95%，持续提升“双公示”等行政管理信息的上报率、合规率、及时率。</w:t>
      </w:r>
      <w:r>
        <w:rPr>
          <w:rFonts w:hint="eastAsia" w:ascii="方正黑体_GBK" w:eastAsia="方正黑体_GBK" w:cs="Times New Roman"/>
          <w:color w:val="auto"/>
          <w:sz w:val="32"/>
          <w:szCs w:val="32"/>
        </w:rPr>
        <w:t>二是</w:t>
      </w:r>
      <w:r>
        <w:rPr>
          <w:rFonts w:hint="eastAsia" w:eastAsia="方正仿宋_GBK" w:cs="Times New Roman"/>
          <w:color w:val="auto"/>
          <w:sz w:val="32"/>
          <w:szCs w:val="32"/>
        </w:rPr>
        <w:t>规范协同做好疑问数据、异议数据等数据处理，及时核实、确认并更正。</w:t>
      </w:r>
      <w:r>
        <w:rPr>
          <w:rFonts w:hint="eastAsia" w:ascii="方正黑体_GBK" w:eastAsia="方正黑体_GBK" w:cs="Times New Roman"/>
          <w:color w:val="auto"/>
          <w:sz w:val="32"/>
          <w:szCs w:val="32"/>
        </w:rPr>
        <w:t>三是</w:t>
      </w:r>
      <w:r>
        <w:rPr>
          <w:rFonts w:hint="eastAsia" w:eastAsia="方正仿宋_GBK" w:cs="Times New Roman"/>
          <w:color w:val="auto"/>
          <w:sz w:val="32"/>
          <w:szCs w:val="32"/>
        </w:rPr>
        <w:t>健全自动采集和及时更新机制，大力提升</w:t>
      </w:r>
      <w:r>
        <w:rPr>
          <w:rFonts w:hint="eastAsia" w:eastAsia="方正仿宋_GBK" w:cs="Times New Roman"/>
          <w:color w:val="auto"/>
          <w:sz w:val="32"/>
          <w:szCs w:val="32"/>
          <w:lang w:val="en-US" w:eastAsia="zh-CN"/>
        </w:rPr>
        <w:t>各级公共信用信息系统</w:t>
      </w:r>
      <w:r>
        <w:rPr>
          <w:rFonts w:hint="eastAsia" w:eastAsia="方正仿宋_GBK" w:cs="Times New Roman"/>
          <w:color w:val="auto"/>
          <w:sz w:val="32"/>
          <w:szCs w:val="32"/>
        </w:rPr>
        <w:t>信息归集处理的时效性</w:t>
      </w:r>
      <w:r>
        <w:rPr>
          <w:rFonts w:hint="eastAsia" w:eastAsia="方正仿宋_GBK" w:cs="Times New Roman"/>
          <w:color w:val="auto"/>
          <w:sz w:val="32"/>
          <w:szCs w:val="32"/>
          <w:lang w:eastAsia="zh-CN"/>
        </w:rPr>
        <w:t>、</w:t>
      </w:r>
      <w:r>
        <w:rPr>
          <w:rFonts w:hint="eastAsia" w:eastAsia="方正仿宋_GBK" w:cs="Times New Roman"/>
          <w:color w:val="auto"/>
          <w:sz w:val="32"/>
          <w:szCs w:val="32"/>
        </w:rPr>
        <w:t>稳定性。</w:t>
      </w:r>
    </w:p>
    <w:p>
      <w:pPr>
        <w:numPr>
          <w:ilvl w:val="0"/>
          <w:numId w:val="1"/>
        </w:numPr>
        <w:spacing w:line="587" w:lineRule="exact"/>
        <w:ind w:firstLine="640" w:firstLineChars="200"/>
        <w:rPr>
          <w:rFonts w:eastAsia="方正仿宋_GBK"/>
          <w:color w:val="auto"/>
          <w:sz w:val="32"/>
          <w:szCs w:val="32"/>
        </w:rPr>
      </w:pPr>
      <w:r>
        <w:rPr>
          <w:rFonts w:cs="Times New Roman"/>
          <w:color w:val="auto"/>
          <w:sz w:val="32"/>
          <w:szCs w:val="32"/>
        </w:rPr>
        <w:t>完善</w:t>
      </w:r>
      <w:r>
        <w:rPr>
          <w:rFonts w:hint="eastAsia" w:cs="Times New Roman"/>
          <w:color w:val="auto"/>
          <w:sz w:val="32"/>
          <w:szCs w:val="32"/>
        </w:rPr>
        <w:t>归集工作</w:t>
      </w:r>
      <w:r>
        <w:rPr>
          <w:rFonts w:cs="Times New Roman"/>
          <w:color w:val="auto"/>
          <w:sz w:val="32"/>
          <w:szCs w:val="32"/>
        </w:rPr>
        <w:t>机制。</w:t>
      </w:r>
      <w:r>
        <w:rPr>
          <w:rFonts w:hint="eastAsia" w:ascii="方正黑体_GBK" w:eastAsia="方正黑体_GBK" w:cs="Times New Roman"/>
          <w:color w:val="auto"/>
          <w:sz w:val="32"/>
          <w:szCs w:val="32"/>
        </w:rPr>
        <w:t>一是</w:t>
      </w:r>
      <w:r>
        <w:rPr>
          <w:rFonts w:hint="eastAsia" w:eastAsia="方正仿宋_GBK" w:cs="Times New Roman"/>
          <w:color w:val="auto"/>
          <w:sz w:val="32"/>
          <w:szCs w:val="32"/>
        </w:rPr>
        <w:t>健全各级归集工作网络，保持人员稳定，加强日常沟通联系。</w:t>
      </w:r>
      <w:r>
        <w:rPr>
          <w:rFonts w:hint="eastAsia" w:ascii="方正黑体_GBK" w:eastAsia="方正黑体_GBK" w:cs="Times New Roman"/>
          <w:color w:val="auto"/>
          <w:sz w:val="32"/>
          <w:szCs w:val="32"/>
        </w:rPr>
        <w:t>二是</w:t>
      </w:r>
      <w:r>
        <w:rPr>
          <w:rFonts w:hint="eastAsia" w:eastAsia="方正仿宋_GBK"/>
          <w:color w:val="auto"/>
          <w:sz w:val="32"/>
          <w:szCs w:val="32"/>
        </w:rPr>
        <w:t>健全日监测、周反馈、“一对一”反馈等机制，实施月通报制度，按期发布信用信息归集应用、双公示信息报送工作情况。</w:t>
      </w:r>
      <w:r>
        <w:rPr>
          <w:rFonts w:hint="eastAsia" w:ascii="方正黑体_GBK" w:eastAsia="方正黑体_GBK" w:cs="Times New Roman"/>
          <w:color w:val="auto"/>
          <w:sz w:val="32"/>
          <w:szCs w:val="32"/>
        </w:rPr>
        <w:t>三是</w:t>
      </w:r>
      <w:r>
        <w:rPr>
          <w:rFonts w:hint="eastAsia" w:eastAsia="方正仿宋_GBK"/>
          <w:color w:val="auto"/>
          <w:sz w:val="32"/>
          <w:szCs w:val="32"/>
        </w:rPr>
        <w:t>完善测评考核机制，优化调整信用信息归集应用考核指标，加大融资信用信息、个人信用信息归集应用的考核比重。</w:t>
      </w:r>
    </w:p>
    <w:p>
      <w:pPr>
        <w:spacing w:line="587" w:lineRule="exact"/>
        <w:ind w:firstLine="640" w:firstLineChars="200"/>
        <w:rPr>
          <w:rFonts w:eastAsia="方正黑体_GBK" w:cs="Times New Roman"/>
          <w:color w:val="auto"/>
          <w:sz w:val="32"/>
          <w:szCs w:val="32"/>
        </w:rPr>
      </w:pPr>
      <w:r>
        <w:rPr>
          <w:rFonts w:hint="eastAsia" w:eastAsia="方正黑体_GBK" w:cs="Times New Roman"/>
          <w:color w:val="auto"/>
          <w:sz w:val="32"/>
          <w:szCs w:val="32"/>
        </w:rPr>
        <w:t>三</w:t>
      </w:r>
      <w:r>
        <w:rPr>
          <w:rFonts w:eastAsia="方正黑体_GBK" w:cs="Times New Roman"/>
          <w:color w:val="auto"/>
          <w:sz w:val="32"/>
          <w:szCs w:val="32"/>
        </w:rPr>
        <w:t>、</w:t>
      </w:r>
      <w:r>
        <w:rPr>
          <w:rFonts w:hint="eastAsia" w:eastAsia="方正黑体_GBK" w:cs="Times New Roman"/>
          <w:color w:val="auto"/>
          <w:sz w:val="32"/>
          <w:szCs w:val="32"/>
        </w:rPr>
        <w:t>创新信用信息服务，支撑信用惠民便企</w:t>
      </w:r>
    </w:p>
    <w:p>
      <w:pPr>
        <w:numPr>
          <w:ilvl w:val="0"/>
          <w:numId w:val="1"/>
        </w:numPr>
        <w:spacing w:line="587" w:lineRule="exact"/>
        <w:ind w:firstLine="640" w:firstLineChars="200"/>
        <w:rPr>
          <w:rFonts w:eastAsia="方正仿宋_GBK"/>
          <w:color w:val="auto"/>
          <w:sz w:val="32"/>
          <w:szCs w:val="32"/>
        </w:rPr>
      </w:pPr>
      <w:r>
        <w:rPr>
          <w:rFonts w:hint="eastAsia" w:cs="Times New Roman"/>
          <w:color w:val="auto"/>
          <w:sz w:val="32"/>
          <w:szCs w:val="32"/>
        </w:rPr>
        <w:t>优化基础应用服务。</w:t>
      </w:r>
      <w:r>
        <w:rPr>
          <w:rFonts w:hint="eastAsia" w:ascii="方正黑体_GBK" w:eastAsia="方正黑体_GBK"/>
          <w:color w:val="auto"/>
          <w:sz w:val="32"/>
          <w:szCs w:val="32"/>
        </w:rPr>
        <w:t>一是</w:t>
      </w:r>
      <w:r>
        <w:rPr>
          <w:rFonts w:hint="eastAsia" w:eastAsia="方正仿宋_GBK"/>
          <w:color w:val="auto"/>
          <w:sz w:val="32"/>
          <w:szCs w:val="32"/>
        </w:rPr>
        <w:t>持续做好信用信息公示、信用信息查询、信息交换共享、信息异议处理、信用修复等基础应用服务。</w:t>
      </w:r>
      <w:r>
        <w:rPr>
          <w:rFonts w:hint="eastAsia" w:ascii="方正黑体_GBK" w:eastAsia="方正黑体_GBK"/>
          <w:color w:val="auto"/>
          <w:sz w:val="32"/>
          <w:szCs w:val="32"/>
        </w:rPr>
        <w:t>二是</w:t>
      </w:r>
      <w:r>
        <w:rPr>
          <w:rFonts w:hint="eastAsia" w:eastAsia="方正仿宋_GBK"/>
          <w:color w:val="auto"/>
          <w:sz w:val="32"/>
          <w:szCs w:val="32"/>
        </w:rPr>
        <w:t>深化政府部门信用信息服务，依法规范为各地各部门在行政审批、政务服务、财政资金安排、评优评先、公共资源交易等事项中提供精准的公共信用信息查询服务。规范稳妥开展公务员录用、调任查询服务。</w:t>
      </w:r>
      <w:r>
        <w:rPr>
          <w:rFonts w:hint="eastAsia" w:ascii="方正黑体_GBK" w:eastAsia="方正黑体_GBK"/>
          <w:color w:val="auto"/>
          <w:sz w:val="32"/>
          <w:szCs w:val="32"/>
        </w:rPr>
        <w:t>三是</w:t>
      </w:r>
      <w:r>
        <w:rPr>
          <w:rFonts w:hint="eastAsia" w:eastAsia="方正仿宋_GBK"/>
          <w:color w:val="auto"/>
          <w:sz w:val="32"/>
          <w:szCs w:val="32"/>
        </w:rPr>
        <w:t>完善线上线下融合的公共信用信息服务体系，向社会公众提供便捷的信用信息公示、查询服务。</w:t>
      </w:r>
      <w:r>
        <w:rPr>
          <w:rFonts w:hint="eastAsia" w:ascii="方正黑体_GBK" w:eastAsia="方正黑体_GBK" w:cs="Times New Roman"/>
          <w:color w:val="auto"/>
          <w:sz w:val="32"/>
          <w:szCs w:val="32"/>
        </w:rPr>
        <w:t>四是</w:t>
      </w:r>
      <w:r>
        <w:rPr>
          <w:rFonts w:hint="eastAsia" w:eastAsia="方正仿宋_GBK"/>
          <w:color w:val="auto"/>
          <w:sz w:val="32"/>
          <w:szCs w:val="32"/>
        </w:rPr>
        <w:t>优化服务方式，推广信用信息嵌入式服务，拓展公共信用信息产品应用，为政府部门提供信用评价、信用预警、信用分级分类等产品，为各类市场主体提供定制查询等服务。</w:t>
      </w:r>
    </w:p>
    <w:p>
      <w:pPr>
        <w:numPr>
          <w:ilvl w:val="0"/>
          <w:numId w:val="1"/>
        </w:numPr>
        <w:spacing w:line="587" w:lineRule="exact"/>
        <w:ind w:firstLine="640" w:firstLineChars="200"/>
        <w:rPr>
          <w:rFonts w:cs="Times New Roman"/>
          <w:color w:val="auto"/>
          <w:sz w:val="32"/>
          <w:szCs w:val="32"/>
        </w:rPr>
      </w:pPr>
      <w:r>
        <w:rPr>
          <w:rFonts w:hint="eastAsia" w:cs="Times New Roman"/>
          <w:color w:val="auto"/>
          <w:sz w:val="32"/>
          <w:szCs w:val="32"/>
        </w:rPr>
        <w:t>创新特色应用服务。</w:t>
      </w:r>
      <w:r>
        <w:rPr>
          <w:rFonts w:hint="eastAsia" w:ascii="方正黑体_GBK" w:eastAsia="方正黑体_GBK" w:cs="Times New Roman"/>
          <w:color w:val="auto"/>
          <w:sz w:val="32"/>
          <w:szCs w:val="32"/>
        </w:rPr>
        <w:t>一是</w:t>
      </w:r>
      <w:r>
        <w:rPr>
          <w:rFonts w:hint="eastAsia" w:eastAsia="方正仿宋_GBK" w:cs="Times New Roman"/>
          <w:color w:val="auto"/>
          <w:sz w:val="32"/>
          <w:szCs w:val="32"/>
        </w:rPr>
        <w:t>依托“苏企通”平台，逐步延伸服务链条，扩大应用覆盖范围，为企业提供自主申报、提示提醒、信用体检等个性化特色服务。</w:t>
      </w:r>
      <w:r>
        <w:rPr>
          <w:rFonts w:hint="eastAsia" w:ascii="方正黑体_GBK" w:eastAsia="方正黑体_GBK" w:cs="Times New Roman"/>
          <w:color w:val="auto"/>
          <w:sz w:val="32"/>
          <w:szCs w:val="32"/>
        </w:rPr>
        <w:t>二是</w:t>
      </w:r>
      <w:r>
        <w:rPr>
          <w:rFonts w:hint="eastAsia" w:eastAsia="方正仿宋_GBK" w:cs="Times New Roman"/>
          <w:color w:val="auto"/>
          <w:sz w:val="32"/>
          <w:szCs w:val="32"/>
        </w:rPr>
        <w:t>探索开展个人信用信息应用，基于全省统一个人信用档案研究个人信用二维码的实现路径，打造个人信用体系建设新品牌。</w:t>
      </w:r>
      <w:r>
        <w:rPr>
          <w:rFonts w:hint="eastAsia" w:ascii="方正黑体_GBK" w:eastAsia="方正黑体_GBK" w:cs="Times New Roman"/>
          <w:color w:val="auto"/>
          <w:sz w:val="32"/>
          <w:szCs w:val="32"/>
        </w:rPr>
        <w:t>三是</w:t>
      </w:r>
      <w:r>
        <w:rPr>
          <w:rFonts w:hint="eastAsia" w:eastAsia="方正仿宋_GBK" w:cs="Times New Roman"/>
          <w:color w:val="auto"/>
          <w:sz w:val="32"/>
          <w:szCs w:val="32"/>
        </w:rPr>
        <w:t>聚焦“放管服”改革、服务和改善民生，支持部门结合特色信用管理，拓展创新“信易+” 惠民便企场景建设，支撑信用惠民便企措施落地。</w:t>
      </w:r>
    </w:p>
    <w:p>
      <w:pPr>
        <w:numPr>
          <w:ilvl w:val="0"/>
          <w:numId w:val="1"/>
        </w:numPr>
        <w:spacing w:line="587" w:lineRule="exact"/>
        <w:ind w:firstLine="640" w:firstLineChars="200"/>
        <w:rPr>
          <w:rFonts w:eastAsia="方正仿宋_GBK"/>
          <w:color w:val="auto"/>
          <w:sz w:val="32"/>
          <w:szCs w:val="32"/>
        </w:rPr>
      </w:pPr>
      <w:r>
        <w:rPr>
          <w:rFonts w:cs="Times New Roman"/>
          <w:color w:val="auto"/>
          <w:sz w:val="32"/>
          <w:szCs w:val="32"/>
        </w:rPr>
        <w:t>规范信用</w:t>
      </w:r>
      <w:r>
        <w:rPr>
          <w:rFonts w:hint="eastAsia" w:cs="Times New Roman"/>
          <w:color w:val="auto"/>
          <w:sz w:val="32"/>
          <w:szCs w:val="32"/>
        </w:rPr>
        <w:t>信息</w:t>
      </w:r>
      <w:r>
        <w:rPr>
          <w:rFonts w:cs="Times New Roman"/>
          <w:color w:val="auto"/>
          <w:sz w:val="32"/>
          <w:szCs w:val="32"/>
        </w:rPr>
        <w:t>修复</w:t>
      </w:r>
      <w:r>
        <w:rPr>
          <w:rFonts w:hint="eastAsia" w:cs="Times New Roman"/>
          <w:color w:val="auto"/>
          <w:sz w:val="32"/>
          <w:szCs w:val="32"/>
        </w:rPr>
        <w:t>及</w:t>
      </w:r>
      <w:r>
        <w:rPr>
          <w:rFonts w:cs="Times New Roman"/>
          <w:color w:val="auto"/>
          <w:sz w:val="32"/>
          <w:szCs w:val="32"/>
        </w:rPr>
        <w:t>异议处理</w:t>
      </w:r>
      <w:r>
        <w:rPr>
          <w:rFonts w:hint="eastAsia" w:cs="Times New Roman"/>
          <w:color w:val="auto"/>
          <w:sz w:val="32"/>
          <w:szCs w:val="32"/>
        </w:rPr>
        <w:t>服务</w:t>
      </w:r>
      <w:r>
        <w:rPr>
          <w:rFonts w:cs="Times New Roman"/>
          <w:color w:val="auto"/>
          <w:sz w:val="32"/>
          <w:szCs w:val="32"/>
        </w:rPr>
        <w:t>。</w:t>
      </w:r>
      <w:r>
        <w:rPr>
          <w:rFonts w:hint="eastAsia" w:ascii="方正黑体_GBK" w:eastAsia="方正黑体_GBK"/>
          <w:color w:val="auto"/>
          <w:sz w:val="32"/>
          <w:szCs w:val="32"/>
        </w:rPr>
        <w:t>一是</w:t>
      </w:r>
      <w:r>
        <w:rPr>
          <w:rFonts w:hint="eastAsia" w:eastAsia="方正仿宋_GBK"/>
          <w:color w:val="auto"/>
          <w:sz w:val="32"/>
          <w:szCs w:val="32"/>
        </w:rPr>
        <w:t>执行国家发展改革委《失信行为纠正后的信用信息修复管理办法（试行）》，依托信用中国网站，省市协同联动做好信用信息修复，初审复审核查错误率不超过0.5%，并在各平台网站及时共享修复信息。</w:t>
      </w:r>
      <w:r>
        <w:rPr>
          <w:rFonts w:hint="eastAsia" w:ascii="方正黑体_GBK" w:eastAsia="方正黑体_GBK"/>
          <w:color w:val="auto"/>
          <w:sz w:val="32"/>
          <w:szCs w:val="32"/>
        </w:rPr>
        <w:t>二是</w:t>
      </w:r>
      <w:r>
        <w:rPr>
          <w:rFonts w:hint="eastAsia" w:eastAsia="方正仿宋_GBK"/>
          <w:color w:val="auto"/>
          <w:sz w:val="32"/>
          <w:szCs w:val="32"/>
        </w:rPr>
        <w:t>畅通信用信息修复渠道，优化信息修复流程，探索“一体化”办理方式，支撑“一网通办”和“不见面”服务，切实解决企业在省内异地受到行政处罚的信用修复堵点。</w:t>
      </w:r>
      <w:r>
        <w:rPr>
          <w:rFonts w:hint="eastAsia" w:ascii="方正黑体_GBK" w:eastAsia="方正黑体_GBK"/>
          <w:color w:val="auto"/>
          <w:sz w:val="32"/>
          <w:szCs w:val="32"/>
        </w:rPr>
        <w:t>三是</w:t>
      </w:r>
      <w:r>
        <w:rPr>
          <w:rFonts w:hint="eastAsia" w:eastAsia="方正仿宋_GBK"/>
          <w:color w:val="auto"/>
          <w:sz w:val="32"/>
          <w:szCs w:val="32"/>
        </w:rPr>
        <w:t>规范信息异议处理流程，严格按照国家要求的5个工作日处理期限，准确、高效地开展异议处理服务。</w:t>
      </w:r>
      <w:r>
        <w:rPr>
          <w:rFonts w:hint="eastAsia" w:ascii="方正黑体_GBK" w:eastAsia="方正黑体_GBK"/>
          <w:color w:val="auto"/>
          <w:sz w:val="32"/>
          <w:szCs w:val="32"/>
        </w:rPr>
        <w:t>四是</w:t>
      </w:r>
      <w:r>
        <w:rPr>
          <w:rFonts w:hint="eastAsia" w:eastAsia="方正仿宋_GBK"/>
          <w:color w:val="auto"/>
          <w:sz w:val="32"/>
          <w:szCs w:val="32"/>
        </w:rPr>
        <w:t>开展全省信用修复工作调研和业务培训，加强问题总结和成效反馈，切实提高信用修复、异议处理工作成效。</w:t>
      </w:r>
    </w:p>
    <w:p>
      <w:pPr>
        <w:numPr>
          <w:ilvl w:val="0"/>
          <w:numId w:val="1"/>
        </w:numPr>
        <w:spacing w:line="587" w:lineRule="exact"/>
        <w:ind w:firstLine="640" w:firstLineChars="200"/>
        <w:rPr>
          <w:rFonts w:eastAsia="方正仿宋_GBK"/>
          <w:color w:val="auto"/>
          <w:sz w:val="32"/>
          <w:szCs w:val="32"/>
        </w:rPr>
      </w:pPr>
      <w:r>
        <w:rPr>
          <w:rFonts w:hint="eastAsia" w:ascii="方正楷体_GBK"/>
          <w:color w:val="auto"/>
          <w:sz w:val="32"/>
          <w:szCs w:val="32"/>
        </w:rPr>
        <w:t>推进公共、金融和市场等信用信息融合应用。</w:t>
      </w:r>
      <w:r>
        <w:rPr>
          <w:rFonts w:hint="eastAsia" w:ascii="方正黑体_GBK" w:eastAsia="方正黑体_GBK"/>
          <w:color w:val="auto"/>
          <w:sz w:val="32"/>
          <w:szCs w:val="32"/>
        </w:rPr>
        <w:t>一是</w:t>
      </w:r>
      <w:r>
        <w:rPr>
          <w:rFonts w:hint="eastAsia" w:eastAsia="方正仿宋_GBK"/>
          <w:color w:val="auto"/>
          <w:sz w:val="32"/>
          <w:szCs w:val="32"/>
        </w:rPr>
        <w:t>充分发挥全国中小企业融资综合信用服务平台江苏省级节点作用，支持地方融资信用服务平台建设，促进公共和金融信用信息融合应用。</w:t>
      </w:r>
      <w:r>
        <w:rPr>
          <w:rFonts w:hint="eastAsia" w:ascii="方正黑体_GBK" w:eastAsia="方正黑体_GBK"/>
          <w:color w:val="auto"/>
          <w:sz w:val="32"/>
          <w:szCs w:val="32"/>
        </w:rPr>
        <w:t>二是</w:t>
      </w:r>
      <w:r>
        <w:rPr>
          <w:rFonts w:hint="eastAsia" w:eastAsia="方正仿宋_GBK"/>
          <w:color w:val="auto"/>
          <w:sz w:val="32"/>
          <w:szCs w:val="32"/>
        </w:rPr>
        <w:t>依法依规</w:t>
      </w:r>
      <w:r>
        <w:rPr>
          <w:rFonts w:eastAsia="方正仿宋_GBK"/>
          <w:color w:val="auto"/>
          <w:sz w:val="32"/>
          <w:szCs w:val="32"/>
        </w:rPr>
        <w:t>为社会组织、第三方</w:t>
      </w:r>
      <w:r>
        <w:rPr>
          <w:rFonts w:hint="eastAsia" w:eastAsia="方正仿宋_GBK"/>
          <w:color w:val="auto"/>
          <w:sz w:val="32"/>
          <w:szCs w:val="32"/>
        </w:rPr>
        <w:t>信用</w:t>
      </w:r>
      <w:r>
        <w:rPr>
          <w:rFonts w:eastAsia="方正仿宋_GBK"/>
          <w:color w:val="auto"/>
          <w:sz w:val="32"/>
          <w:szCs w:val="32"/>
        </w:rPr>
        <w:t>服务机构提供便捷</w:t>
      </w:r>
      <w:r>
        <w:rPr>
          <w:rFonts w:hint="eastAsia" w:eastAsia="方正仿宋_GBK"/>
          <w:color w:val="auto"/>
          <w:sz w:val="32"/>
          <w:szCs w:val="32"/>
        </w:rPr>
        <w:t>的信息</w:t>
      </w:r>
      <w:r>
        <w:rPr>
          <w:rFonts w:eastAsia="方正仿宋_GBK"/>
          <w:color w:val="auto"/>
          <w:sz w:val="32"/>
          <w:szCs w:val="32"/>
        </w:rPr>
        <w:t>应用服务。</w:t>
      </w:r>
      <w:r>
        <w:rPr>
          <w:rFonts w:hint="eastAsia" w:ascii="方正黑体_GBK" w:eastAsia="方正黑体_GBK"/>
          <w:color w:val="auto"/>
          <w:sz w:val="32"/>
          <w:szCs w:val="32"/>
        </w:rPr>
        <w:t>三是</w:t>
      </w:r>
      <w:r>
        <w:rPr>
          <w:rFonts w:hint="eastAsia" w:eastAsia="方正仿宋_GBK" w:cs="Times New Roman"/>
          <w:color w:val="auto"/>
          <w:sz w:val="32"/>
          <w:szCs w:val="32"/>
        </w:rPr>
        <w:t>充分利用信息技术，</w:t>
      </w:r>
      <w:r>
        <w:rPr>
          <w:rFonts w:hint="eastAsia" w:eastAsia="方正仿宋_GBK"/>
          <w:color w:val="auto"/>
          <w:sz w:val="32"/>
          <w:szCs w:val="32"/>
        </w:rPr>
        <w:t>加强公共信用信息、金融信用信息和市场信用信息共享，依法推动各类信用信息在商务、金融、民生等领域融合应用，更好服务于经济社会发展。</w:t>
      </w:r>
    </w:p>
    <w:p>
      <w:pPr>
        <w:spacing w:line="587" w:lineRule="exact"/>
        <w:ind w:firstLine="640" w:firstLineChars="200"/>
        <w:rPr>
          <w:rFonts w:eastAsia="方正黑体_GBK" w:cs="Times New Roman"/>
          <w:color w:val="auto"/>
          <w:sz w:val="32"/>
          <w:szCs w:val="32"/>
        </w:rPr>
      </w:pPr>
      <w:r>
        <w:rPr>
          <w:rFonts w:hint="eastAsia" w:eastAsia="方正黑体_GBK" w:cs="Times New Roman"/>
          <w:color w:val="auto"/>
          <w:sz w:val="32"/>
          <w:szCs w:val="32"/>
        </w:rPr>
        <w:t>四、强化信息安全保障，支撑系统运行管理</w:t>
      </w:r>
    </w:p>
    <w:p>
      <w:pPr>
        <w:numPr>
          <w:ilvl w:val="0"/>
          <w:numId w:val="1"/>
        </w:numPr>
        <w:spacing w:line="587" w:lineRule="exact"/>
        <w:ind w:firstLine="640" w:firstLineChars="200"/>
        <w:rPr>
          <w:rFonts w:eastAsia="方正仿宋_GBK"/>
          <w:color w:val="auto"/>
          <w:sz w:val="32"/>
          <w:szCs w:val="32"/>
        </w:rPr>
      </w:pPr>
      <w:r>
        <w:rPr>
          <w:rFonts w:hint="eastAsia" w:ascii="方正楷体_GBK"/>
          <w:color w:val="auto"/>
          <w:sz w:val="32"/>
          <w:szCs w:val="32"/>
        </w:rPr>
        <w:t>完善信用信息安全管理制度。</w:t>
      </w:r>
      <w:r>
        <w:rPr>
          <w:rFonts w:hint="eastAsia" w:eastAsia="方正仿宋_GBK"/>
          <w:color w:val="auto"/>
          <w:sz w:val="32"/>
          <w:szCs w:val="32"/>
        </w:rPr>
        <w:t>完善《江苏省公共信用信息系统信息安全管理办法》《江苏省公共信用信息批量查询服务工作规范》等制度，健全信用信息安全管理和应急处理机制，规范信用信息查询使用登记和审查程序，加强信用信息授权查询、下载、使用等全过程管理，采取有效技术保障措施，保障信用信息安全。</w:t>
      </w:r>
    </w:p>
    <w:p>
      <w:pPr>
        <w:numPr>
          <w:ilvl w:val="0"/>
          <w:numId w:val="1"/>
        </w:numPr>
        <w:spacing w:line="587" w:lineRule="exact"/>
        <w:ind w:firstLine="640" w:firstLineChars="200"/>
        <w:rPr>
          <w:rFonts w:eastAsia="方正仿宋_GBK"/>
          <w:color w:val="auto"/>
          <w:sz w:val="32"/>
          <w:szCs w:val="32"/>
        </w:rPr>
      </w:pPr>
      <w:r>
        <w:rPr>
          <w:rFonts w:hint="eastAsia" w:ascii="方正楷体_GBK"/>
          <w:color w:val="auto"/>
          <w:sz w:val="32"/>
          <w:szCs w:val="32"/>
        </w:rPr>
        <w:t>实行信息安全等级保护。</w:t>
      </w:r>
      <w:r>
        <w:rPr>
          <w:rFonts w:hint="eastAsia" w:eastAsia="方正仿宋_GBK"/>
          <w:color w:val="auto"/>
          <w:sz w:val="32"/>
          <w:szCs w:val="32"/>
        </w:rPr>
        <w:t>开展信息安全等级保护三级测评、密码测评等安全测评，运用先进科技手段加强信用信息归集、存储、共享、使用等各环节的安全防护。定期开展信息安全审计和风险评估。</w:t>
      </w:r>
    </w:p>
    <w:p>
      <w:pPr>
        <w:numPr>
          <w:ilvl w:val="0"/>
          <w:numId w:val="1"/>
        </w:numPr>
        <w:spacing w:line="587" w:lineRule="exact"/>
        <w:ind w:firstLine="640" w:firstLineChars="200"/>
        <w:rPr>
          <w:rFonts w:eastAsia="方正仿宋_GBK"/>
          <w:color w:val="auto"/>
          <w:sz w:val="32"/>
          <w:szCs w:val="32"/>
        </w:rPr>
      </w:pPr>
      <w:r>
        <w:rPr>
          <w:rFonts w:hint="eastAsia" w:ascii="方正楷体_GBK"/>
          <w:color w:val="auto"/>
          <w:sz w:val="32"/>
          <w:szCs w:val="32"/>
        </w:rPr>
        <w:t>强化日常运维管理。</w:t>
      </w:r>
      <w:r>
        <w:rPr>
          <w:rFonts w:hint="eastAsia" w:ascii="方正黑体_GBK" w:eastAsia="方正黑体_GBK"/>
          <w:color w:val="auto"/>
          <w:sz w:val="32"/>
          <w:szCs w:val="32"/>
        </w:rPr>
        <w:t>一是</w:t>
      </w:r>
      <w:r>
        <w:rPr>
          <w:rFonts w:hint="eastAsia" w:eastAsia="方正仿宋_GBK"/>
          <w:color w:val="auto"/>
          <w:sz w:val="32"/>
          <w:szCs w:val="32"/>
        </w:rPr>
        <w:t>持续做好基础设施、应用软件、安全服务等运行维护，有序开展日常巡检、安全防护等运维管理工作。各级平台同步做好一体化系统相关运维工作，保障系统安全稳定、高效运行。</w:t>
      </w:r>
      <w:r>
        <w:rPr>
          <w:rFonts w:hint="eastAsia" w:ascii="方正黑体_GBK" w:eastAsia="方正黑体_GBK"/>
          <w:color w:val="auto"/>
          <w:sz w:val="32"/>
          <w:szCs w:val="32"/>
        </w:rPr>
        <w:t>二是</w:t>
      </w:r>
      <w:r>
        <w:rPr>
          <w:rFonts w:hint="eastAsia" w:eastAsia="方正仿宋_GBK"/>
          <w:color w:val="auto"/>
          <w:sz w:val="32"/>
          <w:szCs w:val="32"/>
        </w:rPr>
        <w:t>推进安全可靠应用替代工作，逐步完成系统国产化适配及迁移，实现安全可靠产品替换。</w:t>
      </w:r>
      <w:r>
        <w:rPr>
          <w:rFonts w:hint="eastAsia" w:ascii="方正黑体_GBK" w:eastAsia="方正黑体_GBK"/>
          <w:color w:val="auto"/>
          <w:sz w:val="32"/>
          <w:szCs w:val="32"/>
        </w:rPr>
        <w:t>三是</w:t>
      </w:r>
      <w:r>
        <w:rPr>
          <w:rFonts w:hint="eastAsia" w:eastAsia="方正仿宋_GBK"/>
          <w:color w:val="auto"/>
          <w:sz w:val="32"/>
          <w:szCs w:val="32"/>
        </w:rPr>
        <w:t>组织开展全省公共信用信息系统安全培训，各设区市要加强对县级信用信息系统信息安全的指导和培训，进一步强化系统安全管理和风险防控。</w:t>
      </w:r>
    </w:p>
    <w:p>
      <w:pPr>
        <w:spacing w:line="587" w:lineRule="exact"/>
        <w:ind w:firstLine="640" w:firstLineChars="200"/>
        <w:rPr>
          <w:rFonts w:eastAsia="方正黑体_GBK" w:cs="Times New Roman"/>
          <w:color w:val="auto"/>
          <w:sz w:val="32"/>
          <w:szCs w:val="32"/>
        </w:rPr>
      </w:pPr>
      <w:r>
        <w:rPr>
          <w:rFonts w:hint="eastAsia" w:eastAsia="方正黑体_GBK" w:cs="Times New Roman"/>
          <w:color w:val="auto"/>
          <w:sz w:val="32"/>
          <w:szCs w:val="32"/>
        </w:rPr>
        <w:t>五</w:t>
      </w:r>
      <w:r>
        <w:rPr>
          <w:rFonts w:eastAsia="方正黑体_GBK" w:cs="Times New Roman"/>
          <w:color w:val="auto"/>
          <w:sz w:val="32"/>
          <w:szCs w:val="32"/>
        </w:rPr>
        <w:t>、</w:t>
      </w:r>
      <w:r>
        <w:rPr>
          <w:rFonts w:hint="eastAsia" w:eastAsia="方正黑体_GBK" w:cs="Times New Roman"/>
          <w:color w:val="auto"/>
          <w:sz w:val="32"/>
          <w:szCs w:val="32"/>
        </w:rPr>
        <w:t>深入分析和研究</w:t>
      </w:r>
      <w:r>
        <w:rPr>
          <w:rFonts w:eastAsia="方正黑体_GBK" w:cs="Times New Roman"/>
          <w:color w:val="auto"/>
          <w:sz w:val="32"/>
          <w:szCs w:val="32"/>
        </w:rPr>
        <w:t>，</w:t>
      </w:r>
      <w:r>
        <w:rPr>
          <w:rFonts w:hint="eastAsia" w:eastAsia="方正黑体_GBK" w:cs="Times New Roman"/>
          <w:color w:val="auto"/>
          <w:sz w:val="32"/>
          <w:szCs w:val="32"/>
        </w:rPr>
        <w:t>支撑决策支持服务</w:t>
      </w:r>
    </w:p>
    <w:p>
      <w:pPr>
        <w:numPr>
          <w:ilvl w:val="0"/>
          <w:numId w:val="1"/>
        </w:numPr>
        <w:spacing w:line="587" w:lineRule="exact"/>
        <w:ind w:firstLine="640" w:firstLineChars="200"/>
        <w:rPr>
          <w:rFonts w:eastAsia="方正仿宋_GBK"/>
          <w:color w:val="auto"/>
          <w:sz w:val="32"/>
          <w:szCs w:val="32"/>
        </w:rPr>
      </w:pPr>
      <w:r>
        <w:rPr>
          <w:rFonts w:hint="eastAsia" w:cs="Times New Roman"/>
          <w:color w:val="auto"/>
          <w:sz w:val="32"/>
          <w:szCs w:val="32"/>
        </w:rPr>
        <w:t>健全完善信用信息标准规范。</w:t>
      </w:r>
      <w:r>
        <w:rPr>
          <w:rFonts w:hint="eastAsia" w:eastAsia="方正仿宋_GBK"/>
          <w:color w:val="auto"/>
          <w:sz w:val="32"/>
          <w:szCs w:val="32"/>
        </w:rPr>
        <w:t>实施国家和省已经施行的平台运行维护、信息归集、信息服务规范，研究编制《公共信用信息标准体系建设指南》《</w:t>
      </w:r>
      <w:r>
        <w:rPr>
          <w:rFonts w:eastAsia="方正仿宋_GBK"/>
          <w:color w:val="auto"/>
          <w:sz w:val="32"/>
          <w:szCs w:val="32"/>
        </w:rPr>
        <w:t>省域内一体化公共信用信息系统建设标准规范</w:t>
      </w:r>
      <w:r>
        <w:rPr>
          <w:rFonts w:hint="eastAsia" w:eastAsia="方正仿宋_GBK"/>
          <w:color w:val="auto"/>
          <w:sz w:val="32"/>
          <w:szCs w:val="32"/>
        </w:rPr>
        <w:t>》等地方标准，进一步提升全省统一的公共信用信息系统管理、信息归集、服务应用等标准化水平。</w:t>
      </w:r>
    </w:p>
    <w:p>
      <w:pPr>
        <w:numPr>
          <w:ilvl w:val="0"/>
          <w:numId w:val="1"/>
        </w:numPr>
        <w:spacing w:line="587" w:lineRule="exact"/>
        <w:ind w:firstLine="640" w:firstLineChars="200"/>
        <w:rPr>
          <w:rFonts w:eastAsia="方正仿宋_GBK"/>
          <w:color w:val="auto"/>
          <w:sz w:val="32"/>
          <w:szCs w:val="32"/>
        </w:rPr>
      </w:pPr>
      <w:r>
        <w:rPr>
          <w:rFonts w:cs="Times New Roman"/>
          <w:color w:val="auto"/>
          <w:sz w:val="32"/>
          <w:szCs w:val="32"/>
        </w:rPr>
        <w:t>强化数据分析研究</w:t>
      </w:r>
      <w:r>
        <w:rPr>
          <w:rFonts w:hint="eastAsia" w:eastAsia="方正仿宋_GBK"/>
          <w:color w:val="auto"/>
          <w:sz w:val="32"/>
          <w:szCs w:val="32"/>
        </w:rPr>
        <w:t>。聚焦服务宏观决策，深度挖掘信用数据价值，结合经济发展形势和企业、产业发展现状，开展信用信息专题分析，并长期跟踪研究，服务政府决策。</w:t>
      </w:r>
    </w:p>
    <w:p>
      <w:pPr>
        <w:numPr>
          <w:ilvl w:val="0"/>
          <w:numId w:val="1"/>
        </w:numPr>
        <w:spacing w:line="587" w:lineRule="exact"/>
        <w:ind w:firstLine="640" w:firstLineChars="200"/>
        <w:rPr>
          <w:rFonts w:eastAsia="方正仿宋_GBK"/>
          <w:color w:val="auto"/>
          <w:sz w:val="32"/>
          <w:szCs w:val="32"/>
        </w:rPr>
      </w:pPr>
      <w:r>
        <w:rPr>
          <w:rFonts w:hint="eastAsia" w:cs="Times New Roman"/>
          <w:color w:val="auto"/>
          <w:sz w:val="32"/>
          <w:szCs w:val="32"/>
        </w:rPr>
        <w:t>开展</w:t>
      </w:r>
      <w:r>
        <w:rPr>
          <w:rFonts w:cs="Times New Roman"/>
          <w:color w:val="auto"/>
          <w:sz w:val="32"/>
          <w:szCs w:val="32"/>
        </w:rPr>
        <w:t>重点课题研究</w:t>
      </w:r>
      <w:r>
        <w:rPr>
          <w:rFonts w:hint="eastAsia" w:cs="Times New Roman"/>
          <w:color w:val="auto"/>
          <w:sz w:val="32"/>
          <w:szCs w:val="32"/>
        </w:rPr>
        <w:t>。</w:t>
      </w:r>
      <w:r>
        <w:rPr>
          <w:rFonts w:hint="eastAsia" w:ascii="方正黑体_GBK" w:eastAsia="方正黑体_GBK"/>
          <w:color w:val="auto"/>
          <w:sz w:val="32"/>
          <w:szCs w:val="32"/>
        </w:rPr>
        <w:t>一是</w:t>
      </w:r>
      <w:r>
        <w:rPr>
          <w:rFonts w:hint="eastAsia" w:eastAsia="方正仿宋_GBK"/>
          <w:color w:val="auto"/>
          <w:sz w:val="32"/>
          <w:szCs w:val="32"/>
        </w:rPr>
        <w:t>研究制定《江苏省公共信用信息管理办法》，</w:t>
      </w:r>
      <w:r>
        <w:rPr>
          <w:rFonts w:hint="eastAsia" w:eastAsia="方正仿宋_GBK"/>
          <w:color w:val="auto"/>
          <w:sz w:val="32"/>
          <w:szCs w:val="32"/>
          <w:lang w:val="en-US" w:eastAsia="zh-CN"/>
        </w:rPr>
        <w:t>做好与《江苏省公共数据管理办法》的衔接，</w:t>
      </w:r>
      <w:r>
        <w:rPr>
          <w:rFonts w:hint="eastAsia" w:eastAsia="方正仿宋_GBK"/>
          <w:color w:val="auto"/>
          <w:sz w:val="32"/>
          <w:szCs w:val="32"/>
        </w:rPr>
        <w:t>探索开展信用信息披露、信用监测预警等制度机制研究。</w:t>
      </w:r>
      <w:r>
        <w:rPr>
          <w:rFonts w:hint="eastAsia" w:ascii="方正黑体_GBK" w:eastAsia="方正黑体_GBK"/>
          <w:color w:val="auto"/>
          <w:sz w:val="32"/>
          <w:szCs w:val="32"/>
        </w:rPr>
        <w:t>二是</w:t>
      </w:r>
      <w:r>
        <w:rPr>
          <w:rFonts w:hint="eastAsia" w:eastAsia="方正仿宋_GBK"/>
          <w:color w:val="auto"/>
          <w:sz w:val="32"/>
          <w:szCs w:val="32"/>
        </w:rPr>
        <w:t>聚焦信用建设重点难点，开展信用大数据支撑经济感知分析、公共信用综合评价等重点课题研究，并将研究成果应用于实践。</w:t>
      </w:r>
      <w:r>
        <w:rPr>
          <w:rFonts w:hint="eastAsia" w:ascii="方正黑体_GBK" w:eastAsia="方正黑体_GBK"/>
          <w:color w:val="auto"/>
          <w:sz w:val="32"/>
          <w:szCs w:val="32"/>
        </w:rPr>
        <w:t>三是</w:t>
      </w:r>
      <w:r>
        <w:rPr>
          <w:rFonts w:hint="eastAsia" w:eastAsia="方正仿宋_GBK"/>
          <w:color w:val="auto"/>
          <w:sz w:val="32"/>
          <w:szCs w:val="32"/>
        </w:rPr>
        <w:t>围绕经济社会与信用相关的热点重点，开展信用热点问题研究。</w:t>
      </w:r>
    </w:p>
    <w:p>
      <w:pPr>
        <w:spacing w:line="587" w:lineRule="exact"/>
        <w:ind w:firstLine="640" w:firstLineChars="200"/>
        <w:rPr>
          <w:rFonts w:eastAsia="方正黑体_GBK" w:cs="Times New Roman"/>
          <w:color w:val="auto"/>
          <w:sz w:val="32"/>
          <w:szCs w:val="32"/>
        </w:rPr>
      </w:pPr>
      <w:r>
        <w:rPr>
          <w:rFonts w:hint="eastAsia" w:eastAsia="方正黑体_GBK" w:cs="Times New Roman"/>
          <w:color w:val="auto"/>
          <w:sz w:val="32"/>
          <w:szCs w:val="32"/>
        </w:rPr>
        <w:t>六、发挥省市联动作用，支撑整体水平提升</w:t>
      </w:r>
    </w:p>
    <w:p>
      <w:pPr>
        <w:numPr>
          <w:ilvl w:val="0"/>
          <w:numId w:val="1"/>
        </w:numPr>
        <w:spacing w:line="587" w:lineRule="exact"/>
        <w:ind w:firstLine="640" w:firstLineChars="200"/>
        <w:rPr>
          <w:rFonts w:eastAsia="方正仿宋_GBK"/>
          <w:color w:val="auto"/>
          <w:sz w:val="32"/>
          <w:szCs w:val="32"/>
        </w:rPr>
      </w:pPr>
      <w:r>
        <w:rPr>
          <w:rFonts w:hint="eastAsia" w:cs="Times New Roman"/>
          <w:color w:val="auto"/>
          <w:sz w:val="32"/>
          <w:szCs w:val="32"/>
        </w:rPr>
        <w:t>支持示范区创建和城市信用监测。</w:t>
      </w:r>
      <w:r>
        <w:rPr>
          <w:rFonts w:hint="eastAsia" w:eastAsia="方正仿宋_GBK"/>
          <w:color w:val="auto"/>
          <w:sz w:val="32"/>
          <w:szCs w:val="32"/>
        </w:rPr>
        <w:t>围绕《社会信用体系建设示范区评审指标》和城市信用监测指标，指导各设区市、县（市、区）提升“双公示”信息报送质量、“信易贷”服务能力、信用监管水平等关键性指标，力争在城市信用监测中排名提升。支持相关城市创建全国社会信用体系建设示范区。</w:t>
      </w:r>
    </w:p>
    <w:p>
      <w:pPr>
        <w:numPr>
          <w:ilvl w:val="0"/>
          <w:numId w:val="1"/>
        </w:numPr>
        <w:spacing w:line="587" w:lineRule="exact"/>
        <w:ind w:firstLine="640" w:firstLineChars="200"/>
        <w:rPr>
          <w:rFonts w:eastAsia="方正仿宋_GBK"/>
          <w:color w:val="auto"/>
          <w:sz w:val="32"/>
          <w:szCs w:val="32"/>
        </w:rPr>
      </w:pPr>
      <w:r>
        <w:rPr>
          <w:rFonts w:hint="eastAsia" w:cs="Times New Roman"/>
          <w:color w:val="auto"/>
          <w:sz w:val="32"/>
          <w:szCs w:val="32"/>
        </w:rPr>
        <w:t>加强省市交流学习。</w:t>
      </w:r>
      <w:r>
        <w:rPr>
          <w:rFonts w:hint="eastAsia" w:eastAsia="方正仿宋_GBK"/>
          <w:color w:val="auto"/>
          <w:sz w:val="32"/>
          <w:szCs w:val="32"/>
        </w:rPr>
        <w:t>进一步加强省市信用信息共享平台和信用门户网站观摩交流。加强</w:t>
      </w:r>
      <w:r>
        <w:rPr>
          <w:rFonts w:hint="eastAsia" w:eastAsia="方正仿宋_GBK" w:cs="Times New Roman"/>
          <w:color w:val="auto"/>
          <w:sz w:val="32"/>
          <w:szCs w:val="32"/>
        </w:rPr>
        <w:t>业务交流与学习，召开信用信息系统工作会议，协同推进工作任务落实。组织开展省信用信息资源管控</w:t>
      </w:r>
      <w:r>
        <w:rPr>
          <w:rFonts w:hint="eastAsia" w:eastAsia="方正仿宋_GBK"/>
          <w:color w:val="auto"/>
          <w:sz w:val="32"/>
          <w:szCs w:val="32"/>
        </w:rPr>
        <w:t>平台、数据标准、双公示、一体化查询等培训推广，组织开展业务研讨、技术培训</w:t>
      </w:r>
      <w:r>
        <w:rPr>
          <w:rFonts w:hint="eastAsia" w:eastAsia="方正仿宋_GBK" w:cs="Times New Roman"/>
          <w:color w:val="auto"/>
          <w:sz w:val="32"/>
          <w:szCs w:val="32"/>
        </w:rPr>
        <w:t>、调研交流等活动，</w:t>
      </w:r>
      <w:r>
        <w:rPr>
          <w:rFonts w:eastAsia="方正仿宋_GBK" w:cs="Times New Roman"/>
          <w:color w:val="auto"/>
          <w:sz w:val="32"/>
          <w:szCs w:val="32"/>
        </w:rPr>
        <w:t>促进业务能力</w:t>
      </w:r>
      <w:r>
        <w:rPr>
          <w:rFonts w:hint="eastAsia" w:eastAsia="方正仿宋_GBK" w:cs="Times New Roman"/>
          <w:color w:val="auto"/>
          <w:sz w:val="32"/>
          <w:szCs w:val="32"/>
        </w:rPr>
        <w:t>和水平整体</w:t>
      </w:r>
      <w:r>
        <w:rPr>
          <w:rFonts w:eastAsia="方正仿宋_GBK" w:cs="Times New Roman"/>
          <w:color w:val="auto"/>
          <w:sz w:val="32"/>
          <w:szCs w:val="32"/>
        </w:rPr>
        <w:t>提升。</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楷体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cs="Times New Roman" w:eastAsiaTheme="minorEastAsia"/>
        <w:sz w:val="28"/>
        <w:szCs w:val="28"/>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center"/>
                            <w:rPr>
                              <w:rFonts w:cs="Times New Roman"/>
                              <w:sz w:val="28"/>
                              <w:szCs w:val="28"/>
                            </w:rPr>
                          </w:pPr>
                          <w:r>
                            <w:rPr>
                              <w:rFonts w:cs="Times New Roman"/>
                              <w:sz w:val="28"/>
                              <w:szCs w:val="28"/>
                            </w:rPr>
                            <w:t xml:space="preserve">— </w:t>
                          </w:r>
                          <w:r>
                            <w:rPr>
                              <w:rFonts w:cs="Times New Roman"/>
                              <w:sz w:val="28"/>
                              <w:szCs w:val="28"/>
                            </w:rPr>
                            <w:fldChar w:fldCharType="begin"/>
                          </w:r>
                          <w:r>
                            <w:rPr>
                              <w:rFonts w:cs="Times New Roman"/>
                              <w:sz w:val="28"/>
                              <w:szCs w:val="28"/>
                            </w:rPr>
                            <w:instrText xml:space="preserve"> PAGE  \* MERGEFORMAT </w:instrText>
                          </w:r>
                          <w:r>
                            <w:rPr>
                              <w:rFonts w:cs="Times New Roman"/>
                              <w:sz w:val="28"/>
                              <w:szCs w:val="28"/>
                            </w:rPr>
                            <w:fldChar w:fldCharType="separate"/>
                          </w:r>
                          <w:r>
                            <w:rPr>
                              <w:rFonts w:cs="Times New Roman"/>
                              <w:sz w:val="28"/>
                              <w:szCs w:val="28"/>
                            </w:rPr>
                            <w:t>7</w:t>
                          </w:r>
                          <w:r>
                            <w:rPr>
                              <w:rFonts w:cs="Times New Roman"/>
                              <w:sz w:val="28"/>
                              <w:szCs w:val="28"/>
                            </w:rPr>
                            <w:fldChar w:fldCharType="end"/>
                          </w:r>
                          <w:r>
                            <w:rPr>
                              <w:rFonts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jc w:val="center"/>
                      <w:rPr>
                        <w:rFonts w:cs="Times New Roman"/>
                        <w:sz w:val="28"/>
                        <w:szCs w:val="28"/>
                      </w:rPr>
                    </w:pPr>
                    <w:r>
                      <w:rPr>
                        <w:rFonts w:cs="Times New Roman"/>
                        <w:sz w:val="28"/>
                        <w:szCs w:val="28"/>
                      </w:rPr>
                      <w:t xml:space="preserve">— </w:t>
                    </w:r>
                    <w:r>
                      <w:rPr>
                        <w:rFonts w:cs="Times New Roman"/>
                        <w:sz w:val="28"/>
                        <w:szCs w:val="28"/>
                      </w:rPr>
                      <w:fldChar w:fldCharType="begin"/>
                    </w:r>
                    <w:r>
                      <w:rPr>
                        <w:rFonts w:cs="Times New Roman"/>
                        <w:sz w:val="28"/>
                        <w:szCs w:val="28"/>
                      </w:rPr>
                      <w:instrText xml:space="preserve"> PAGE  \* MERGEFORMAT </w:instrText>
                    </w:r>
                    <w:r>
                      <w:rPr>
                        <w:rFonts w:cs="Times New Roman"/>
                        <w:sz w:val="28"/>
                        <w:szCs w:val="28"/>
                      </w:rPr>
                      <w:fldChar w:fldCharType="separate"/>
                    </w:r>
                    <w:r>
                      <w:rPr>
                        <w:rFonts w:cs="Times New Roman"/>
                        <w:sz w:val="28"/>
                        <w:szCs w:val="28"/>
                      </w:rPr>
                      <w:t>7</w:t>
                    </w:r>
                    <w:r>
                      <w:rPr>
                        <w:rFonts w:cs="Times New Roman"/>
                        <w:sz w:val="28"/>
                        <w:szCs w:val="28"/>
                      </w:rPr>
                      <w:fldChar w:fldCharType="end"/>
                    </w:r>
                    <w:r>
                      <w:rPr>
                        <w:rFonts w:cs="Times New Roman"/>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513861"/>
    <w:multiLevelType w:val="singleLevel"/>
    <w:tmpl w:val="2D513861"/>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wMDE0MWFlNTUyZWFjOGQyMmYxNDAyNDQzNjQwYWUifQ=="/>
  </w:docVars>
  <w:rsids>
    <w:rsidRoot w:val="008A22B6"/>
    <w:rsid w:val="0000491D"/>
    <w:rsid w:val="00006AB2"/>
    <w:rsid w:val="00012EE6"/>
    <w:rsid w:val="00024B81"/>
    <w:rsid w:val="00024FD1"/>
    <w:rsid w:val="000254D9"/>
    <w:rsid w:val="00026E3B"/>
    <w:rsid w:val="00027FEF"/>
    <w:rsid w:val="00031669"/>
    <w:rsid w:val="000331BA"/>
    <w:rsid w:val="00033FB5"/>
    <w:rsid w:val="000367ED"/>
    <w:rsid w:val="0004176A"/>
    <w:rsid w:val="00041DF1"/>
    <w:rsid w:val="0004262C"/>
    <w:rsid w:val="00044DC9"/>
    <w:rsid w:val="000452AC"/>
    <w:rsid w:val="0004650C"/>
    <w:rsid w:val="00046EAE"/>
    <w:rsid w:val="0004739A"/>
    <w:rsid w:val="00047E21"/>
    <w:rsid w:val="000534B1"/>
    <w:rsid w:val="000535FD"/>
    <w:rsid w:val="00056622"/>
    <w:rsid w:val="00061563"/>
    <w:rsid w:val="00061DDC"/>
    <w:rsid w:val="00062282"/>
    <w:rsid w:val="00062906"/>
    <w:rsid w:val="0006573F"/>
    <w:rsid w:val="00066C9D"/>
    <w:rsid w:val="00071545"/>
    <w:rsid w:val="0007228A"/>
    <w:rsid w:val="00075B83"/>
    <w:rsid w:val="00081B26"/>
    <w:rsid w:val="00083427"/>
    <w:rsid w:val="0008567E"/>
    <w:rsid w:val="00095EBD"/>
    <w:rsid w:val="000A1B9C"/>
    <w:rsid w:val="000A22B6"/>
    <w:rsid w:val="000A2FA8"/>
    <w:rsid w:val="000A3171"/>
    <w:rsid w:val="000A3F69"/>
    <w:rsid w:val="000A4B08"/>
    <w:rsid w:val="000A5859"/>
    <w:rsid w:val="000A6467"/>
    <w:rsid w:val="000A7845"/>
    <w:rsid w:val="000B0072"/>
    <w:rsid w:val="000B3B3E"/>
    <w:rsid w:val="000B3BCC"/>
    <w:rsid w:val="000B499C"/>
    <w:rsid w:val="000C4594"/>
    <w:rsid w:val="000D0C2A"/>
    <w:rsid w:val="000D1ED4"/>
    <w:rsid w:val="000D2745"/>
    <w:rsid w:val="000D280E"/>
    <w:rsid w:val="000D5019"/>
    <w:rsid w:val="000D5778"/>
    <w:rsid w:val="000D6937"/>
    <w:rsid w:val="000D7CA8"/>
    <w:rsid w:val="000E0E16"/>
    <w:rsid w:val="000E32E5"/>
    <w:rsid w:val="000E3686"/>
    <w:rsid w:val="000E471F"/>
    <w:rsid w:val="000E54E3"/>
    <w:rsid w:val="000E73C8"/>
    <w:rsid w:val="000F0ADC"/>
    <w:rsid w:val="000F386B"/>
    <w:rsid w:val="000F3CF6"/>
    <w:rsid w:val="000F3DFB"/>
    <w:rsid w:val="000F427C"/>
    <w:rsid w:val="000F47E3"/>
    <w:rsid w:val="000F60F7"/>
    <w:rsid w:val="000F7F32"/>
    <w:rsid w:val="00100068"/>
    <w:rsid w:val="0010060F"/>
    <w:rsid w:val="00101681"/>
    <w:rsid w:val="001017ED"/>
    <w:rsid w:val="00101CDF"/>
    <w:rsid w:val="001047A5"/>
    <w:rsid w:val="00107EDA"/>
    <w:rsid w:val="001111D6"/>
    <w:rsid w:val="001130CE"/>
    <w:rsid w:val="00114BE3"/>
    <w:rsid w:val="001163F1"/>
    <w:rsid w:val="001168F7"/>
    <w:rsid w:val="00117146"/>
    <w:rsid w:val="00120E5F"/>
    <w:rsid w:val="00120FBA"/>
    <w:rsid w:val="0012156D"/>
    <w:rsid w:val="0012175B"/>
    <w:rsid w:val="0012328D"/>
    <w:rsid w:val="00124A1D"/>
    <w:rsid w:val="00124C89"/>
    <w:rsid w:val="001304BD"/>
    <w:rsid w:val="001325CF"/>
    <w:rsid w:val="00133040"/>
    <w:rsid w:val="00134695"/>
    <w:rsid w:val="00134DC7"/>
    <w:rsid w:val="00135CD7"/>
    <w:rsid w:val="00140D39"/>
    <w:rsid w:val="0014136F"/>
    <w:rsid w:val="00145738"/>
    <w:rsid w:val="00147095"/>
    <w:rsid w:val="00150F4F"/>
    <w:rsid w:val="00151EDA"/>
    <w:rsid w:val="00151EF9"/>
    <w:rsid w:val="00155A1F"/>
    <w:rsid w:val="00156388"/>
    <w:rsid w:val="0015663E"/>
    <w:rsid w:val="001576E7"/>
    <w:rsid w:val="00160422"/>
    <w:rsid w:val="0016049C"/>
    <w:rsid w:val="00162D95"/>
    <w:rsid w:val="00163746"/>
    <w:rsid w:val="00164479"/>
    <w:rsid w:val="00165398"/>
    <w:rsid w:val="0017140C"/>
    <w:rsid w:val="001919FE"/>
    <w:rsid w:val="001940F1"/>
    <w:rsid w:val="00195513"/>
    <w:rsid w:val="00195DF8"/>
    <w:rsid w:val="00197A6F"/>
    <w:rsid w:val="00197FC0"/>
    <w:rsid w:val="001A0CD0"/>
    <w:rsid w:val="001A1C8F"/>
    <w:rsid w:val="001A1ED6"/>
    <w:rsid w:val="001A547B"/>
    <w:rsid w:val="001B1AC0"/>
    <w:rsid w:val="001B1F07"/>
    <w:rsid w:val="001B20B8"/>
    <w:rsid w:val="001B4C21"/>
    <w:rsid w:val="001B6F5B"/>
    <w:rsid w:val="001C02B3"/>
    <w:rsid w:val="001C13D6"/>
    <w:rsid w:val="001C7179"/>
    <w:rsid w:val="001D1945"/>
    <w:rsid w:val="001D24F1"/>
    <w:rsid w:val="001D36AF"/>
    <w:rsid w:val="001D67DC"/>
    <w:rsid w:val="001D6A5D"/>
    <w:rsid w:val="001E003A"/>
    <w:rsid w:val="001E265C"/>
    <w:rsid w:val="001E2FA6"/>
    <w:rsid w:val="001F0D53"/>
    <w:rsid w:val="001F3558"/>
    <w:rsid w:val="001F3E2D"/>
    <w:rsid w:val="001F5262"/>
    <w:rsid w:val="001F687E"/>
    <w:rsid w:val="001F73D9"/>
    <w:rsid w:val="002012F4"/>
    <w:rsid w:val="002025B0"/>
    <w:rsid w:val="002046BC"/>
    <w:rsid w:val="00207670"/>
    <w:rsid w:val="0020778D"/>
    <w:rsid w:val="002125B1"/>
    <w:rsid w:val="0021265A"/>
    <w:rsid w:val="00215F26"/>
    <w:rsid w:val="002169A2"/>
    <w:rsid w:val="002217BE"/>
    <w:rsid w:val="0022216B"/>
    <w:rsid w:val="00222740"/>
    <w:rsid w:val="00225A06"/>
    <w:rsid w:val="00225E73"/>
    <w:rsid w:val="00226E7C"/>
    <w:rsid w:val="00230041"/>
    <w:rsid w:val="002327F0"/>
    <w:rsid w:val="00236162"/>
    <w:rsid w:val="00236BA3"/>
    <w:rsid w:val="00237FD6"/>
    <w:rsid w:val="002402E3"/>
    <w:rsid w:val="002416F0"/>
    <w:rsid w:val="00244682"/>
    <w:rsid w:val="00245C2F"/>
    <w:rsid w:val="00252F29"/>
    <w:rsid w:val="00256699"/>
    <w:rsid w:val="002567EB"/>
    <w:rsid w:val="00256F79"/>
    <w:rsid w:val="00257F9B"/>
    <w:rsid w:val="00260331"/>
    <w:rsid w:val="00261B0F"/>
    <w:rsid w:val="00270AA3"/>
    <w:rsid w:val="0027145F"/>
    <w:rsid w:val="00272127"/>
    <w:rsid w:val="00272AF6"/>
    <w:rsid w:val="0027379C"/>
    <w:rsid w:val="00273E63"/>
    <w:rsid w:val="002745E7"/>
    <w:rsid w:val="00280D8A"/>
    <w:rsid w:val="00284C93"/>
    <w:rsid w:val="00285C7C"/>
    <w:rsid w:val="00290770"/>
    <w:rsid w:val="00291690"/>
    <w:rsid w:val="002A2AC7"/>
    <w:rsid w:val="002A31EA"/>
    <w:rsid w:val="002A43FF"/>
    <w:rsid w:val="002B636E"/>
    <w:rsid w:val="002B64B5"/>
    <w:rsid w:val="002B6723"/>
    <w:rsid w:val="002B797C"/>
    <w:rsid w:val="002C14A2"/>
    <w:rsid w:val="002C1D73"/>
    <w:rsid w:val="002C21F5"/>
    <w:rsid w:val="002C2B4F"/>
    <w:rsid w:val="002C4CC2"/>
    <w:rsid w:val="002C50B6"/>
    <w:rsid w:val="002D10DE"/>
    <w:rsid w:val="002D36DE"/>
    <w:rsid w:val="002E2506"/>
    <w:rsid w:val="002E2FDB"/>
    <w:rsid w:val="002E4765"/>
    <w:rsid w:val="002E6021"/>
    <w:rsid w:val="002F0DF3"/>
    <w:rsid w:val="002F171B"/>
    <w:rsid w:val="002F2CC5"/>
    <w:rsid w:val="002F56A7"/>
    <w:rsid w:val="002F597A"/>
    <w:rsid w:val="002F66E7"/>
    <w:rsid w:val="00300910"/>
    <w:rsid w:val="00305D52"/>
    <w:rsid w:val="00312347"/>
    <w:rsid w:val="0031476F"/>
    <w:rsid w:val="00316A6E"/>
    <w:rsid w:val="003211C9"/>
    <w:rsid w:val="003233FF"/>
    <w:rsid w:val="00325A85"/>
    <w:rsid w:val="00325C29"/>
    <w:rsid w:val="003262BF"/>
    <w:rsid w:val="00326608"/>
    <w:rsid w:val="003314F1"/>
    <w:rsid w:val="00337D10"/>
    <w:rsid w:val="0034024B"/>
    <w:rsid w:val="0034099C"/>
    <w:rsid w:val="003409C8"/>
    <w:rsid w:val="0034178C"/>
    <w:rsid w:val="00341B25"/>
    <w:rsid w:val="00342A75"/>
    <w:rsid w:val="0034381A"/>
    <w:rsid w:val="00343B9A"/>
    <w:rsid w:val="00346BBD"/>
    <w:rsid w:val="00347550"/>
    <w:rsid w:val="00350364"/>
    <w:rsid w:val="00350D93"/>
    <w:rsid w:val="00352D23"/>
    <w:rsid w:val="00354EE6"/>
    <w:rsid w:val="00355186"/>
    <w:rsid w:val="00355F2B"/>
    <w:rsid w:val="003571C3"/>
    <w:rsid w:val="00357870"/>
    <w:rsid w:val="003624FB"/>
    <w:rsid w:val="003655F3"/>
    <w:rsid w:val="0036745C"/>
    <w:rsid w:val="003674A0"/>
    <w:rsid w:val="00370C17"/>
    <w:rsid w:val="00371406"/>
    <w:rsid w:val="00372B75"/>
    <w:rsid w:val="0037633B"/>
    <w:rsid w:val="00376959"/>
    <w:rsid w:val="0038010E"/>
    <w:rsid w:val="00380CE6"/>
    <w:rsid w:val="003815DE"/>
    <w:rsid w:val="003834F1"/>
    <w:rsid w:val="00383DB5"/>
    <w:rsid w:val="003841B2"/>
    <w:rsid w:val="0038456C"/>
    <w:rsid w:val="00384F03"/>
    <w:rsid w:val="00385BFF"/>
    <w:rsid w:val="00391FEF"/>
    <w:rsid w:val="0039257D"/>
    <w:rsid w:val="00393089"/>
    <w:rsid w:val="00393900"/>
    <w:rsid w:val="00393D35"/>
    <w:rsid w:val="00395800"/>
    <w:rsid w:val="003A55C2"/>
    <w:rsid w:val="003A5D2B"/>
    <w:rsid w:val="003A6A70"/>
    <w:rsid w:val="003A6F61"/>
    <w:rsid w:val="003A708E"/>
    <w:rsid w:val="003A7825"/>
    <w:rsid w:val="003A78F3"/>
    <w:rsid w:val="003B0F00"/>
    <w:rsid w:val="003B1650"/>
    <w:rsid w:val="003B1BB7"/>
    <w:rsid w:val="003B32B1"/>
    <w:rsid w:val="003B3ABC"/>
    <w:rsid w:val="003B7500"/>
    <w:rsid w:val="003B7993"/>
    <w:rsid w:val="003C0FA2"/>
    <w:rsid w:val="003C23F9"/>
    <w:rsid w:val="003C4943"/>
    <w:rsid w:val="003C4F84"/>
    <w:rsid w:val="003C6B21"/>
    <w:rsid w:val="003D2589"/>
    <w:rsid w:val="003D78FF"/>
    <w:rsid w:val="003E5107"/>
    <w:rsid w:val="003E510C"/>
    <w:rsid w:val="003F18D7"/>
    <w:rsid w:val="003F3F0A"/>
    <w:rsid w:val="003F48F0"/>
    <w:rsid w:val="004000E7"/>
    <w:rsid w:val="00404288"/>
    <w:rsid w:val="00405107"/>
    <w:rsid w:val="0040674B"/>
    <w:rsid w:val="0041227E"/>
    <w:rsid w:val="0041657A"/>
    <w:rsid w:val="00416E52"/>
    <w:rsid w:val="004247B4"/>
    <w:rsid w:val="00424EF2"/>
    <w:rsid w:val="00426D43"/>
    <w:rsid w:val="0043378D"/>
    <w:rsid w:val="00433ECF"/>
    <w:rsid w:val="004342DA"/>
    <w:rsid w:val="00434F1F"/>
    <w:rsid w:val="00437488"/>
    <w:rsid w:val="00437857"/>
    <w:rsid w:val="00443655"/>
    <w:rsid w:val="00443BBD"/>
    <w:rsid w:val="00451EEF"/>
    <w:rsid w:val="00452A53"/>
    <w:rsid w:val="00454810"/>
    <w:rsid w:val="0045796B"/>
    <w:rsid w:val="00457D32"/>
    <w:rsid w:val="004603A9"/>
    <w:rsid w:val="004605DD"/>
    <w:rsid w:val="0046175A"/>
    <w:rsid w:val="00463D9B"/>
    <w:rsid w:val="00471F76"/>
    <w:rsid w:val="004758C9"/>
    <w:rsid w:val="00482296"/>
    <w:rsid w:val="00483CBB"/>
    <w:rsid w:val="00484717"/>
    <w:rsid w:val="004868BC"/>
    <w:rsid w:val="004909C0"/>
    <w:rsid w:val="00496268"/>
    <w:rsid w:val="00496C78"/>
    <w:rsid w:val="004A19CC"/>
    <w:rsid w:val="004A2DCB"/>
    <w:rsid w:val="004A7958"/>
    <w:rsid w:val="004B089A"/>
    <w:rsid w:val="004B247A"/>
    <w:rsid w:val="004B2ADC"/>
    <w:rsid w:val="004B48B7"/>
    <w:rsid w:val="004C1B81"/>
    <w:rsid w:val="004C33FE"/>
    <w:rsid w:val="004C43EC"/>
    <w:rsid w:val="004C4953"/>
    <w:rsid w:val="004C552A"/>
    <w:rsid w:val="004C676C"/>
    <w:rsid w:val="004D05C4"/>
    <w:rsid w:val="004D28FB"/>
    <w:rsid w:val="004D566A"/>
    <w:rsid w:val="004D574F"/>
    <w:rsid w:val="004E2F9F"/>
    <w:rsid w:val="004E4A9C"/>
    <w:rsid w:val="004E4FA4"/>
    <w:rsid w:val="004E508B"/>
    <w:rsid w:val="004E56D0"/>
    <w:rsid w:val="004F4901"/>
    <w:rsid w:val="004F5ACD"/>
    <w:rsid w:val="004F5EC4"/>
    <w:rsid w:val="005006E7"/>
    <w:rsid w:val="00505F0D"/>
    <w:rsid w:val="00506F7B"/>
    <w:rsid w:val="005100A1"/>
    <w:rsid w:val="005108CE"/>
    <w:rsid w:val="00510F23"/>
    <w:rsid w:val="005154C9"/>
    <w:rsid w:val="005158B3"/>
    <w:rsid w:val="0051732A"/>
    <w:rsid w:val="00520363"/>
    <w:rsid w:val="00520419"/>
    <w:rsid w:val="005208E6"/>
    <w:rsid w:val="00526A16"/>
    <w:rsid w:val="00526D0C"/>
    <w:rsid w:val="00531C28"/>
    <w:rsid w:val="00533E8E"/>
    <w:rsid w:val="00534F4E"/>
    <w:rsid w:val="005379CD"/>
    <w:rsid w:val="005402CB"/>
    <w:rsid w:val="00544A82"/>
    <w:rsid w:val="00545349"/>
    <w:rsid w:val="00546962"/>
    <w:rsid w:val="00546F94"/>
    <w:rsid w:val="0055057C"/>
    <w:rsid w:val="005515C8"/>
    <w:rsid w:val="00553030"/>
    <w:rsid w:val="00553635"/>
    <w:rsid w:val="005609D9"/>
    <w:rsid w:val="00560FA0"/>
    <w:rsid w:val="00563764"/>
    <w:rsid w:val="00563D9E"/>
    <w:rsid w:val="00565BFC"/>
    <w:rsid w:val="005709A1"/>
    <w:rsid w:val="005722FF"/>
    <w:rsid w:val="00572530"/>
    <w:rsid w:val="005747B3"/>
    <w:rsid w:val="00574E84"/>
    <w:rsid w:val="00575A1E"/>
    <w:rsid w:val="00580909"/>
    <w:rsid w:val="00583B3A"/>
    <w:rsid w:val="005856DE"/>
    <w:rsid w:val="005921DD"/>
    <w:rsid w:val="005946E3"/>
    <w:rsid w:val="005A005B"/>
    <w:rsid w:val="005A08D1"/>
    <w:rsid w:val="005A15AE"/>
    <w:rsid w:val="005A6203"/>
    <w:rsid w:val="005A6D84"/>
    <w:rsid w:val="005A6E10"/>
    <w:rsid w:val="005A7189"/>
    <w:rsid w:val="005B56C6"/>
    <w:rsid w:val="005B771D"/>
    <w:rsid w:val="005C00CE"/>
    <w:rsid w:val="005C0D8C"/>
    <w:rsid w:val="005C1E85"/>
    <w:rsid w:val="005C35EC"/>
    <w:rsid w:val="005C3A48"/>
    <w:rsid w:val="005C59A5"/>
    <w:rsid w:val="005C650A"/>
    <w:rsid w:val="005C66DB"/>
    <w:rsid w:val="005D0B75"/>
    <w:rsid w:val="005D3FDB"/>
    <w:rsid w:val="005D64BC"/>
    <w:rsid w:val="005E4CEE"/>
    <w:rsid w:val="005F4ABD"/>
    <w:rsid w:val="005F73F4"/>
    <w:rsid w:val="006021C4"/>
    <w:rsid w:val="006031B9"/>
    <w:rsid w:val="00603E3B"/>
    <w:rsid w:val="006041E1"/>
    <w:rsid w:val="00604399"/>
    <w:rsid w:val="00604C87"/>
    <w:rsid w:val="006145EB"/>
    <w:rsid w:val="00616C91"/>
    <w:rsid w:val="00622362"/>
    <w:rsid w:val="00622C16"/>
    <w:rsid w:val="006236FE"/>
    <w:rsid w:val="00624FF8"/>
    <w:rsid w:val="00625E03"/>
    <w:rsid w:val="00631D60"/>
    <w:rsid w:val="00633EDC"/>
    <w:rsid w:val="006343A8"/>
    <w:rsid w:val="00640702"/>
    <w:rsid w:val="00642E08"/>
    <w:rsid w:val="00644675"/>
    <w:rsid w:val="00644E73"/>
    <w:rsid w:val="0064518F"/>
    <w:rsid w:val="00646FB6"/>
    <w:rsid w:val="006521E5"/>
    <w:rsid w:val="0065316A"/>
    <w:rsid w:val="00655EFF"/>
    <w:rsid w:val="006613A1"/>
    <w:rsid w:val="0066254D"/>
    <w:rsid w:val="00662BFD"/>
    <w:rsid w:val="006718D8"/>
    <w:rsid w:val="006725EB"/>
    <w:rsid w:val="006729DB"/>
    <w:rsid w:val="0067414B"/>
    <w:rsid w:val="00674CA6"/>
    <w:rsid w:val="00675117"/>
    <w:rsid w:val="00675347"/>
    <w:rsid w:val="00676060"/>
    <w:rsid w:val="0067635D"/>
    <w:rsid w:val="00677841"/>
    <w:rsid w:val="00681D52"/>
    <w:rsid w:val="006846E9"/>
    <w:rsid w:val="00684F8B"/>
    <w:rsid w:val="006851DB"/>
    <w:rsid w:val="00685C84"/>
    <w:rsid w:val="00690510"/>
    <w:rsid w:val="0069255D"/>
    <w:rsid w:val="00694868"/>
    <w:rsid w:val="00694B17"/>
    <w:rsid w:val="006966D6"/>
    <w:rsid w:val="006A1740"/>
    <w:rsid w:val="006A20D9"/>
    <w:rsid w:val="006A47A0"/>
    <w:rsid w:val="006A4E3A"/>
    <w:rsid w:val="006A71A7"/>
    <w:rsid w:val="006A7255"/>
    <w:rsid w:val="006B0A1E"/>
    <w:rsid w:val="006B200C"/>
    <w:rsid w:val="006B30FC"/>
    <w:rsid w:val="006B4C5F"/>
    <w:rsid w:val="006B5E95"/>
    <w:rsid w:val="006B7390"/>
    <w:rsid w:val="006C2566"/>
    <w:rsid w:val="006C4C1F"/>
    <w:rsid w:val="006C53F5"/>
    <w:rsid w:val="006C580B"/>
    <w:rsid w:val="006C5882"/>
    <w:rsid w:val="006C64F7"/>
    <w:rsid w:val="006C6EFD"/>
    <w:rsid w:val="006C7365"/>
    <w:rsid w:val="006D194A"/>
    <w:rsid w:val="006D1D0A"/>
    <w:rsid w:val="006D2D61"/>
    <w:rsid w:val="006D5E55"/>
    <w:rsid w:val="006D7FAC"/>
    <w:rsid w:val="006E2EA2"/>
    <w:rsid w:val="006E4EDF"/>
    <w:rsid w:val="006E582B"/>
    <w:rsid w:val="006E7C76"/>
    <w:rsid w:val="006F088B"/>
    <w:rsid w:val="006F12AE"/>
    <w:rsid w:val="006F2C6D"/>
    <w:rsid w:val="006F3960"/>
    <w:rsid w:val="006F54C5"/>
    <w:rsid w:val="006F54F7"/>
    <w:rsid w:val="006F55AA"/>
    <w:rsid w:val="006F65B9"/>
    <w:rsid w:val="007030E4"/>
    <w:rsid w:val="00703C4F"/>
    <w:rsid w:val="0070675B"/>
    <w:rsid w:val="00706B21"/>
    <w:rsid w:val="00707D6A"/>
    <w:rsid w:val="007155AC"/>
    <w:rsid w:val="00716763"/>
    <w:rsid w:val="00716CE6"/>
    <w:rsid w:val="00717342"/>
    <w:rsid w:val="007223E0"/>
    <w:rsid w:val="007234E6"/>
    <w:rsid w:val="0072562A"/>
    <w:rsid w:val="00730DC3"/>
    <w:rsid w:val="00732E68"/>
    <w:rsid w:val="00734CEE"/>
    <w:rsid w:val="0074044A"/>
    <w:rsid w:val="0074497E"/>
    <w:rsid w:val="00747458"/>
    <w:rsid w:val="00750F0F"/>
    <w:rsid w:val="00751C83"/>
    <w:rsid w:val="00754EA7"/>
    <w:rsid w:val="007555A9"/>
    <w:rsid w:val="00757089"/>
    <w:rsid w:val="00762426"/>
    <w:rsid w:val="00762ACA"/>
    <w:rsid w:val="00764AEA"/>
    <w:rsid w:val="00765874"/>
    <w:rsid w:val="00767AA0"/>
    <w:rsid w:val="00770CAF"/>
    <w:rsid w:val="00771B64"/>
    <w:rsid w:val="00776A31"/>
    <w:rsid w:val="00776B8A"/>
    <w:rsid w:val="007771CD"/>
    <w:rsid w:val="00783CF8"/>
    <w:rsid w:val="007905ED"/>
    <w:rsid w:val="00791622"/>
    <w:rsid w:val="0079601E"/>
    <w:rsid w:val="0079777D"/>
    <w:rsid w:val="007A080C"/>
    <w:rsid w:val="007A23D7"/>
    <w:rsid w:val="007A266D"/>
    <w:rsid w:val="007A2C7F"/>
    <w:rsid w:val="007A2E01"/>
    <w:rsid w:val="007A3F34"/>
    <w:rsid w:val="007A78B2"/>
    <w:rsid w:val="007A7D7C"/>
    <w:rsid w:val="007B07CA"/>
    <w:rsid w:val="007B46C7"/>
    <w:rsid w:val="007C0400"/>
    <w:rsid w:val="007C317C"/>
    <w:rsid w:val="007C5479"/>
    <w:rsid w:val="007C5F34"/>
    <w:rsid w:val="007C7BCA"/>
    <w:rsid w:val="007D059A"/>
    <w:rsid w:val="007D09D4"/>
    <w:rsid w:val="007D1237"/>
    <w:rsid w:val="007D2B09"/>
    <w:rsid w:val="007D4D6E"/>
    <w:rsid w:val="007D60DC"/>
    <w:rsid w:val="007D6317"/>
    <w:rsid w:val="007E0DB8"/>
    <w:rsid w:val="007E252B"/>
    <w:rsid w:val="007E2770"/>
    <w:rsid w:val="007E647B"/>
    <w:rsid w:val="007F7103"/>
    <w:rsid w:val="0080050F"/>
    <w:rsid w:val="00800E40"/>
    <w:rsid w:val="00801EEB"/>
    <w:rsid w:val="0080398D"/>
    <w:rsid w:val="00805A0E"/>
    <w:rsid w:val="00805EEC"/>
    <w:rsid w:val="00806127"/>
    <w:rsid w:val="00811036"/>
    <w:rsid w:val="00811132"/>
    <w:rsid w:val="008126D1"/>
    <w:rsid w:val="0081431B"/>
    <w:rsid w:val="00820A58"/>
    <w:rsid w:val="008232BB"/>
    <w:rsid w:val="00824636"/>
    <w:rsid w:val="00826923"/>
    <w:rsid w:val="008277D2"/>
    <w:rsid w:val="00831A85"/>
    <w:rsid w:val="00831F20"/>
    <w:rsid w:val="00834B4B"/>
    <w:rsid w:val="00837718"/>
    <w:rsid w:val="00841ACC"/>
    <w:rsid w:val="00842CB5"/>
    <w:rsid w:val="008435E4"/>
    <w:rsid w:val="00845097"/>
    <w:rsid w:val="008455A2"/>
    <w:rsid w:val="008470CA"/>
    <w:rsid w:val="00853779"/>
    <w:rsid w:val="00855CB9"/>
    <w:rsid w:val="00856824"/>
    <w:rsid w:val="00861858"/>
    <w:rsid w:val="0086254F"/>
    <w:rsid w:val="0086266B"/>
    <w:rsid w:val="00863F70"/>
    <w:rsid w:val="00866332"/>
    <w:rsid w:val="008666D9"/>
    <w:rsid w:val="00866A6C"/>
    <w:rsid w:val="00867257"/>
    <w:rsid w:val="008674DF"/>
    <w:rsid w:val="0087691D"/>
    <w:rsid w:val="00877FF8"/>
    <w:rsid w:val="008812C7"/>
    <w:rsid w:val="008824D9"/>
    <w:rsid w:val="00885E73"/>
    <w:rsid w:val="00886A96"/>
    <w:rsid w:val="00886CDB"/>
    <w:rsid w:val="00887D50"/>
    <w:rsid w:val="0089071A"/>
    <w:rsid w:val="0089152B"/>
    <w:rsid w:val="00891575"/>
    <w:rsid w:val="00894207"/>
    <w:rsid w:val="00895414"/>
    <w:rsid w:val="008A22B6"/>
    <w:rsid w:val="008A2BBE"/>
    <w:rsid w:val="008A7EB2"/>
    <w:rsid w:val="008B12B5"/>
    <w:rsid w:val="008B3679"/>
    <w:rsid w:val="008B4D2E"/>
    <w:rsid w:val="008B5BB7"/>
    <w:rsid w:val="008B78C7"/>
    <w:rsid w:val="008C180D"/>
    <w:rsid w:val="008C1BBD"/>
    <w:rsid w:val="008C312E"/>
    <w:rsid w:val="008C70D8"/>
    <w:rsid w:val="008C7765"/>
    <w:rsid w:val="008D0827"/>
    <w:rsid w:val="008D1AC7"/>
    <w:rsid w:val="008D3190"/>
    <w:rsid w:val="008E0998"/>
    <w:rsid w:val="008E64A7"/>
    <w:rsid w:val="008F05C5"/>
    <w:rsid w:val="008F24C0"/>
    <w:rsid w:val="008F4F20"/>
    <w:rsid w:val="00900F20"/>
    <w:rsid w:val="00902224"/>
    <w:rsid w:val="00905404"/>
    <w:rsid w:val="00905D86"/>
    <w:rsid w:val="009100C6"/>
    <w:rsid w:val="009139D1"/>
    <w:rsid w:val="009155D0"/>
    <w:rsid w:val="009172A3"/>
    <w:rsid w:val="009263B6"/>
    <w:rsid w:val="00933119"/>
    <w:rsid w:val="009334B5"/>
    <w:rsid w:val="009423D9"/>
    <w:rsid w:val="00947119"/>
    <w:rsid w:val="00947608"/>
    <w:rsid w:val="00950298"/>
    <w:rsid w:val="00953516"/>
    <w:rsid w:val="00954934"/>
    <w:rsid w:val="00957C5E"/>
    <w:rsid w:val="009614B0"/>
    <w:rsid w:val="00961C2A"/>
    <w:rsid w:val="00962019"/>
    <w:rsid w:val="009623A8"/>
    <w:rsid w:val="0096275D"/>
    <w:rsid w:val="009674C5"/>
    <w:rsid w:val="009701A8"/>
    <w:rsid w:val="0097052A"/>
    <w:rsid w:val="00971993"/>
    <w:rsid w:val="009738F1"/>
    <w:rsid w:val="009756A6"/>
    <w:rsid w:val="0097677C"/>
    <w:rsid w:val="00976AB4"/>
    <w:rsid w:val="00985F67"/>
    <w:rsid w:val="00990AA0"/>
    <w:rsid w:val="009953D8"/>
    <w:rsid w:val="009A0DDE"/>
    <w:rsid w:val="009A400F"/>
    <w:rsid w:val="009A4176"/>
    <w:rsid w:val="009A45BC"/>
    <w:rsid w:val="009A6121"/>
    <w:rsid w:val="009A6581"/>
    <w:rsid w:val="009B02A6"/>
    <w:rsid w:val="009B275C"/>
    <w:rsid w:val="009B28D5"/>
    <w:rsid w:val="009B51E7"/>
    <w:rsid w:val="009B5AC2"/>
    <w:rsid w:val="009C0F1A"/>
    <w:rsid w:val="009C49B2"/>
    <w:rsid w:val="009C4F07"/>
    <w:rsid w:val="009C725C"/>
    <w:rsid w:val="009C791E"/>
    <w:rsid w:val="009D0023"/>
    <w:rsid w:val="009D002D"/>
    <w:rsid w:val="009D0617"/>
    <w:rsid w:val="009D0823"/>
    <w:rsid w:val="009D1A9E"/>
    <w:rsid w:val="009D3019"/>
    <w:rsid w:val="009D54B8"/>
    <w:rsid w:val="009D5A67"/>
    <w:rsid w:val="009D63AD"/>
    <w:rsid w:val="009D701F"/>
    <w:rsid w:val="009D7B7F"/>
    <w:rsid w:val="009E08B7"/>
    <w:rsid w:val="009E18DA"/>
    <w:rsid w:val="009F0E54"/>
    <w:rsid w:val="009F12BC"/>
    <w:rsid w:val="009F60B4"/>
    <w:rsid w:val="009F6CC7"/>
    <w:rsid w:val="009F6F10"/>
    <w:rsid w:val="009F7AF4"/>
    <w:rsid w:val="009F7EFE"/>
    <w:rsid w:val="00A02726"/>
    <w:rsid w:val="00A04250"/>
    <w:rsid w:val="00A05EDF"/>
    <w:rsid w:val="00A0665B"/>
    <w:rsid w:val="00A067FF"/>
    <w:rsid w:val="00A104BF"/>
    <w:rsid w:val="00A11256"/>
    <w:rsid w:val="00A11F21"/>
    <w:rsid w:val="00A12013"/>
    <w:rsid w:val="00A14448"/>
    <w:rsid w:val="00A16E8F"/>
    <w:rsid w:val="00A200F6"/>
    <w:rsid w:val="00A20803"/>
    <w:rsid w:val="00A23E61"/>
    <w:rsid w:val="00A257E5"/>
    <w:rsid w:val="00A26405"/>
    <w:rsid w:val="00A26E0F"/>
    <w:rsid w:val="00A3069A"/>
    <w:rsid w:val="00A334E1"/>
    <w:rsid w:val="00A33F02"/>
    <w:rsid w:val="00A34432"/>
    <w:rsid w:val="00A34684"/>
    <w:rsid w:val="00A37DE5"/>
    <w:rsid w:val="00A418A7"/>
    <w:rsid w:val="00A41F2A"/>
    <w:rsid w:val="00A4583A"/>
    <w:rsid w:val="00A45C3F"/>
    <w:rsid w:val="00A46849"/>
    <w:rsid w:val="00A47552"/>
    <w:rsid w:val="00A500D2"/>
    <w:rsid w:val="00A5173A"/>
    <w:rsid w:val="00A51833"/>
    <w:rsid w:val="00A557F2"/>
    <w:rsid w:val="00A560F6"/>
    <w:rsid w:val="00A56D20"/>
    <w:rsid w:val="00A56F86"/>
    <w:rsid w:val="00A56FF8"/>
    <w:rsid w:val="00A60AB2"/>
    <w:rsid w:val="00A616AE"/>
    <w:rsid w:val="00A63370"/>
    <w:rsid w:val="00A65BBB"/>
    <w:rsid w:val="00A70D3E"/>
    <w:rsid w:val="00A72DC1"/>
    <w:rsid w:val="00A73381"/>
    <w:rsid w:val="00A76C0A"/>
    <w:rsid w:val="00A76F71"/>
    <w:rsid w:val="00A81E44"/>
    <w:rsid w:val="00A82F8F"/>
    <w:rsid w:val="00A83DB2"/>
    <w:rsid w:val="00A8659A"/>
    <w:rsid w:val="00A8692E"/>
    <w:rsid w:val="00A87757"/>
    <w:rsid w:val="00A90597"/>
    <w:rsid w:val="00A91454"/>
    <w:rsid w:val="00A93A6B"/>
    <w:rsid w:val="00A951C3"/>
    <w:rsid w:val="00A96145"/>
    <w:rsid w:val="00AA1628"/>
    <w:rsid w:val="00AA2B8E"/>
    <w:rsid w:val="00AA3474"/>
    <w:rsid w:val="00AA485B"/>
    <w:rsid w:val="00AA64DF"/>
    <w:rsid w:val="00AB0C70"/>
    <w:rsid w:val="00AB3252"/>
    <w:rsid w:val="00AC0646"/>
    <w:rsid w:val="00AC4746"/>
    <w:rsid w:val="00AC6EDB"/>
    <w:rsid w:val="00AD0088"/>
    <w:rsid w:val="00AD12D1"/>
    <w:rsid w:val="00AD47B1"/>
    <w:rsid w:val="00AD4989"/>
    <w:rsid w:val="00AD7BBC"/>
    <w:rsid w:val="00AE1EA0"/>
    <w:rsid w:val="00AE2862"/>
    <w:rsid w:val="00AE4751"/>
    <w:rsid w:val="00AE65D3"/>
    <w:rsid w:val="00AE76DC"/>
    <w:rsid w:val="00AE79CB"/>
    <w:rsid w:val="00AF76C9"/>
    <w:rsid w:val="00AF7BB2"/>
    <w:rsid w:val="00B00269"/>
    <w:rsid w:val="00B02CA5"/>
    <w:rsid w:val="00B033B1"/>
    <w:rsid w:val="00B04F49"/>
    <w:rsid w:val="00B0530D"/>
    <w:rsid w:val="00B05B16"/>
    <w:rsid w:val="00B110E0"/>
    <w:rsid w:val="00B15913"/>
    <w:rsid w:val="00B16184"/>
    <w:rsid w:val="00B16589"/>
    <w:rsid w:val="00B170D1"/>
    <w:rsid w:val="00B17E0A"/>
    <w:rsid w:val="00B20ACC"/>
    <w:rsid w:val="00B220F8"/>
    <w:rsid w:val="00B25CBC"/>
    <w:rsid w:val="00B3319E"/>
    <w:rsid w:val="00B33AC1"/>
    <w:rsid w:val="00B347B9"/>
    <w:rsid w:val="00B36D21"/>
    <w:rsid w:val="00B4037E"/>
    <w:rsid w:val="00B41D61"/>
    <w:rsid w:val="00B442AE"/>
    <w:rsid w:val="00B44392"/>
    <w:rsid w:val="00B44560"/>
    <w:rsid w:val="00B45FC3"/>
    <w:rsid w:val="00B47399"/>
    <w:rsid w:val="00B50D50"/>
    <w:rsid w:val="00B51478"/>
    <w:rsid w:val="00B536C2"/>
    <w:rsid w:val="00B545E6"/>
    <w:rsid w:val="00B550BF"/>
    <w:rsid w:val="00B5666E"/>
    <w:rsid w:val="00B56A39"/>
    <w:rsid w:val="00B6021E"/>
    <w:rsid w:val="00B63EFF"/>
    <w:rsid w:val="00B65D33"/>
    <w:rsid w:val="00B66BB7"/>
    <w:rsid w:val="00B67502"/>
    <w:rsid w:val="00B71415"/>
    <w:rsid w:val="00B723BD"/>
    <w:rsid w:val="00B73C24"/>
    <w:rsid w:val="00B74800"/>
    <w:rsid w:val="00B760C5"/>
    <w:rsid w:val="00B772A4"/>
    <w:rsid w:val="00B80ADF"/>
    <w:rsid w:val="00B80C8C"/>
    <w:rsid w:val="00B825D3"/>
    <w:rsid w:val="00B836B7"/>
    <w:rsid w:val="00B847CA"/>
    <w:rsid w:val="00BA20B5"/>
    <w:rsid w:val="00BA2195"/>
    <w:rsid w:val="00BA25F1"/>
    <w:rsid w:val="00BA57B8"/>
    <w:rsid w:val="00BA5EAF"/>
    <w:rsid w:val="00BA7955"/>
    <w:rsid w:val="00BB0197"/>
    <w:rsid w:val="00BB11F8"/>
    <w:rsid w:val="00BB2255"/>
    <w:rsid w:val="00BB22E1"/>
    <w:rsid w:val="00BB2FAF"/>
    <w:rsid w:val="00BB38CA"/>
    <w:rsid w:val="00BB5353"/>
    <w:rsid w:val="00BB54F3"/>
    <w:rsid w:val="00BC3CD4"/>
    <w:rsid w:val="00BC4608"/>
    <w:rsid w:val="00BC5221"/>
    <w:rsid w:val="00BC5C09"/>
    <w:rsid w:val="00BC5E87"/>
    <w:rsid w:val="00BC6384"/>
    <w:rsid w:val="00BC7AEF"/>
    <w:rsid w:val="00BD197B"/>
    <w:rsid w:val="00BD1A6A"/>
    <w:rsid w:val="00BD38F8"/>
    <w:rsid w:val="00BD60B2"/>
    <w:rsid w:val="00BD7726"/>
    <w:rsid w:val="00BD7CBF"/>
    <w:rsid w:val="00BD7FE9"/>
    <w:rsid w:val="00BE263F"/>
    <w:rsid w:val="00BE2EDA"/>
    <w:rsid w:val="00BE794E"/>
    <w:rsid w:val="00BF025F"/>
    <w:rsid w:val="00BF1077"/>
    <w:rsid w:val="00BF1EB3"/>
    <w:rsid w:val="00BF53C7"/>
    <w:rsid w:val="00BF5A1A"/>
    <w:rsid w:val="00BF5CC1"/>
    <w:rsid w:val="00BF6FFC"/>
    <w:rsid w:val="00BF7B1F"/>
    <w:rsid w:val="00BF7BF6"/>
    <w:rsid w:val="00C00949"/>
    <w:rsid w:val="00C02130"/>
    <w:rsid w:val="00C034E5"/>
    <w:rsid w:val="00C044B3"/>
    <w:rsid w:val="00C11EFA"/>
    <w:rsid w:val="00C14A4A"/>
    <w:rsid w:val="00C15AB4"/>
    <w:rsid w:val="00C20545"/>
    <w:rsid w:val="00C225FD"/>
    <w:rsid w:val="00C22D1A"/>
    <w:rsid w:val="00C231EC"/>
    <w:rsid w:val="00C23337"/>
    <w:rsid w:val="00C267EF"/>
    <w:rsid w:val="00C2750A"/>
    <w:rsid w:val="00C30222"/>
    <w:rsid w:val="00C33B96"/>
    <w:rsid w:val="00C4123A"/>
    <w:rsid w:val="00C50837"/>
    <w:rsid w:val="00C524AB"/>
    <w:rsid w:val="00C54B15"/>
    <w:rsid w:val="00C60244"/>
    <w:rsid w:val="00C60438"/>
    <w:rsid w:val="00C60B11"/>
    <w:rsid w:val="00C60E5F"/>
    <w:rsid w:val="00C61050"/>
    <w:rsid w:val="00C6521D"/>
    <w:rsid w:val="00C6740E"/>
    <w:rsid w:val="00C7002B"/>
    <w:rsid w:val="00C715AC"/>
    <w:rsid w:val="00C7161A"/>
    <w:rsid w:val="00C71FD6"/>
    <w:rsid w:val="00C7545E"/>
    <w:rsid w:val="00C75B83"/>
    <w:rsid w:val="00C8112A"/>
    <w:rsid w:val="00C85F88"/>
    <w:rsid w:val="00C871D1"/>
    <w:rsid w:val="00C92F01"/>
    <w:rsid w:val="00C93612"/>
    <w:rsid w:val="00C95E83"/>
    <w:rsid w:val="00CA1985"/>
    <w:rsid w:val="00CA1FBC"/>
    <w:rsid w:val="00CA33FB"/>
    <w:rsid w:val="00CA462E"/>
    <w:rsid w:val="00CB15AB"/>
    <w:rsid w:val="00CB377F"/>
    <w:rsid w:val="00CB3831"/>
    <w:rsid w:val="00CB572E"/>
    <w:rsid w:val="00CB786B"/>
    <w:rsid w:val="00CC2F36"/>
    <w:rsid w:val="00CC30F4"/>
    <w:rsid w:val="00CC424B"/>
    <w:rsid w:val="00CC476D"/>
    <w:rsid w:val="00CC55C2"/>
    <w:rsid w:val="00CC75D3"/>
    <w:rsid w:val="00CD0406"/>
    <w:rsid w:val="00CD148A"/>
    <w:rsid w:val="00CD22B7"/>
    <w:rsid w:val="00CD39B3"/>
    <w:rsid w:val="00CD617A"/>
    <w:rsid w:val="00CD7ACC"/>
    <w:rsid w:val="00CE144E"/>
    <w:rsid w:val="00CE28BC"/>
    <w:rsid w:val="00CE48B1"/>
    <w:rsid w:val="00CE58CA"/>
    <w:rsid w:val="00CE5AF5"/>
    <w:rsid w:val="00CF1080"/>
    <w:rsid w:val="00CF473B"/>
    <w:rsid w:val="00CF4DDC"/>
    <w:rsid w:val="00CF6E00"/>
    <w:rsid w:val="00CF7273"/>
    <w:rsid w:val="00CF7B1D"/>
    <w:rsid w:val="00D01E01"/>
    <w:rsid w:val="00D04E6B"/>
    <w:rsid w:val="00D0538C"/>
    <w:rsid w:val="00D05898"/>
    <w:rsid w:val="00D0594E"/>
    <w:rsid w:val="00D06F1F"/>
    <w:rsid w:val="00D1161A"/>
    <w:rsid w:val="00D141D7"/>
    <w:rsid w:val="00D14F60"/>
    <w:rsid w:val="00D15237"/>
    <w:rsid w:val="00D2014E"/>
    <w:rsid w:val="00D2153C"/>
    <w:rsid w:val="00D25121"/>
    <w:rsid w:val="00D26E8F"/>
    <w:rsid w:val="00D30323"/>
    <w:rsid w:val="00D30867"/>
    <w:rsid w:val="00D32846"/>
    <w:rsid w:val="00D333A7"/>
    <w:rsid w:val="00D344BA"/>
    <w:rsid w:val="00D34B06"/>
    <w:rsid w:val="00D37DB1"/>
    <w:rsid w:val="00D37FF7"/>
    <w:rsid w:val="00D40050"/>
    <w:rsid w:val="00D504FB"/>
    <w:rsid w:val="00D514E1"/>
    <w:rsid w:val="00D5200C"/>
    <w:rsid w:val="00D54042"/>
    <w:rsid w:val="00D54D35"/>
    <w:rsid w:val="00D57C1D"/>
    <w:rsid w:val="00D60689"/>
    <w:rsid w:val="00D630A4"/>
    <w:rsid w:val="00D66298"/>
    <w:rsid w:val="00D70FC8"/>
    <w:rsid w:val="00D71AB4"/>
    <w:rsid w:val="00D75F53"/>
    <w:rsid w:val="00D80B6A"/>
    <w:rsid w:val="00D812E2"/>
    <w:rsid w:val="00D815D2"/>
    <w:rsid w:val="00D81CD4"/>
    <w:rsid w:val="00D81D20"/>
    <w:rsid w:val="00D85A77"/>
    <w:rsid w:val="00D900FC"/>
    <w:rsid w:val="00D92B0A"/>
    <w:rsid w:val="00D937B2"/>
    <w:rsid w:val="00D94ED7"/>
    <w:rsid w:val="00D95D0D"/>
    <w:rsid w:val="00D97414"/>
    <w:rsid w:val="00D97F58"/>
    <w:rsid w:val="00DA2247"/>
    <w:rsid w:val="00DA5A1B"/>
    <w:rsid w:val="00DA5BCE"/>
    <w:rsid w:val="00DA6082"/>
    <w:rsid w:val="00DA6561"/>
    <w:rsid w:val="00DC1B8C"/>
    <w:rsid w:val="00DC37DC"/>
    <w:rsid w:val="00DC4255"/>
    <w:rsid w:val="00DC5FDA"/>
    <w:rsid w:val="00DC7C13"/>
    <w:rsid w:val="00DD3A8C"/>
    <w:rsid w:val="00DE0852"/>
    <w:rsid w:val="00DE3CF9"/>
    <w:rsid w:val="00DE4380"/>
    <w:rsid w:val="00DE7D2C"/>
    <w:rsid w:val="00DF0C93"/>
    <w:rsid w:val="00DF356A"/>
    <w:rsid w:val="00DF3BE9"/>
    <w:rsid w:val="00E00470"/>
    <w:rsid w:val="00E0075E"/>
    <w:rsid w:val="00E011AD"/>
    <w:rsid w:val="00E02AA6"/>
    <w:rsid w:val="00E0672E"/>
    <w:rsid w:val="00E13333"/>
    <w:rsid w:val="00E134B7"/>
    <w:rsid w:val="00E13F89"/>
    <w:rsid w:val="00E15265"/>
    <w:rsid w:val="00E167CE"/>
    <w:rsid w:val="00E169A9"/>
    <w:rsid w:val="00E231FC"/>
    <w:rsid w:val="00E2677D"/>
    <w:rsid w:val="00E30453"/>
    <w:rsid w:val="00E32937"/>
    <w:rsid w:val="00E338F5"/>
    <w:rsid w:val="00E3452D"/>
    <w:rsid w:val="00E35CF3"/>
    <w:rsid w:val="00E42542"/>
    <w:rsid w:val="00E42A70"/>
    <w:rsid w:val="00E436C0"/>
    <w:rsid w:val="00E4415E"/>
    <w:rsid w:val="00E447B5"/>
    <w:rsid w:val="00E4516B"/>
    <w:rsid w:val="00E536B7"/>
    <w:rsid w:val="00E541A1"/>
    <w:rsid w:val="00E54763"/>
    <w:rsid w:val="00E56CF2"/>
    <w:rsid w:val="00E57182"/>
    <w:rsid w:val="00E57770"/>
    <w:rsid w:val="00E629C9"/>
    <w:rsid w:val="00E62D42"/>
    <w:rsid w:val="00E6592B"/>
    <w:rsid w:val="00E662B5"/>
    <w:rsid w:val="00E67B16"/>
    <w:rsid w:val="00E74758"/>
    <w:rsid w:val="00E74D02"/>
    <w:rsid w:val="00E75A44"/>
    <w:rsid w:val="00E801CA"/>
    <w:rsid w:val="00E82241"/>
    <w:rsid w:val="00E836AC"/>
    <w:rsid w:val="00E94191"/>
    <w:rsid w:val="00E950C6"/>
    <w:rsid w:val="00E97B57"/>
    <w:rsid w:val="00EA27D6"/>
    <w:rsid w:val="00EA2F35"/>
    <w:rsid w:val="00EA3203"/>
    <w:rsid w:val="00EA4E51"/>
    <w:rsid w:val="00EB4E03"/>
    <w:rsid w:val="00EB4F8D"/>
    <w:rsid w:val="00EB570E"/>
    <w:rsid w:val="00EB614D"/>
    <w:rsid w:val="00EB69AF"/>
    <w:rsid w:val="00EB7AE9"/>
    <w:rsid w:val="00EC02F0"/>
    <w:rsid w:val="00EC12D0"/>
    <w:rsid w:val="00EC2284"/>
    <w:rsid w:val="00EC430A"/>
    <w:rsid w:val="00EC4F33"/>
    <w:rsid w:val="00EC5C9E"/>
    <w:rsid w:val="00EC7B09"/>
    <w:rsid w:val="00ED0979"/>
    <w:rsid w:val="00ED6809"/>
    <w:rsid w:val="00ED6EEB"/>
    <w:rsid w:val="00ED7AF4"/>
    <w:rsid w:val="00ED7D15"/>
    <w:rsid w:val="00ED7E8D"/>
    <w:rsid w:val="00EE3A2A"/>
    <w:rsid w:val="00EE4F0E"/>
    <w:rsid w:val="00EE5D03"/>
    <w:rsid w:val="00EE7260"/>
    <w:rsid w:val="00EE77B6"/>
    <w:rsid w:val="00EF0ECC"/>
    <w:rsid w:val="00EF2828"/>
    <w:rsid w:val="00EF298F"/>
    <w:rsid w:val="00EF31CB"/>
    <w:rsid w:val="00EF33B6"/>
    <w:rsid w:val="00EF35A6"/>
    <w:rsid w:val="00EF3C85"/>
    <w:rsid w:val="00EF45CE"/>
    <w:rsid w:val="00EF6346"/>
    <w:rsid w:val="00EF7D95"/>
    <w:rsid w:val="00F0169F"/>
    <w:rsid w:val="00F029B5"/>
    <w:rsid w:val="00F04A73"/>
    <w:rsid w:val="00F112B0"/>
    <w:rsid w:val="00F11448"/>
    <w:rsid w:val="00F11BD9"/>
    <w:rsid w:val="00F11C6A"/>
    <w:rsid w:val="00F12C02"/>
    <w:rsid w:val="00F132EF"/>
    <w:rsid w:val="00F135ED"/>
    <w:rsid w:val="00F13E53"/>
    <w:rsid w:val="00F1505D"/>
    <w:rsid w:val="00F152F2"/>
    <w:rsid w:val="00F20E98"/>
    <w:rsid w:val="00F21931"/>
    <w:rsid w:val="00F22420"/>
    <w:rsid w:val="00F225BC"/>
    <w:rsid w:val="00F230F7"/>
    <w:rsid w:val="00F2584B"/>
    <w:rsid w:val="00F277E4"/>
    <w:rsid w:val="00F303BB"/>
    <w:rsid w:val="00F307D8"/>
    <w:rsid w:val="00F3249B"/>
    <w:rsid w:val="00F32A3B"/>
    <w:rsid w:val="00F33849"/>
    <w:rsid w:val="00F34023"/>
    <w:rsid w:val="00F34D06"/>
    <w:rsid w:val="00F3663B"/>
    <w:rsid w:val="00F44017"/>
    <w:rsid w:val="00F4436A"/>
    <w:rsid w:val="00F44E65"/>
    <w:rsid w:val="00F451BC"/>
    <w:rsid w:val="00F45E6A"/>
    <w:rsid w:val="00F509D9"/>
    <w:rsid w:val="00F5423A"/>
    <w:rsid w:val="00F55541"/>
    <w:rsid w:val="00F56CCA"/>
    <w:rsid w:val="00F6223F"/>
    <w:rsid w:val="00F64E87"/>
    <w:rsid w:val="00F651D8"/>
    <w:rsid w:val="00F70598"/>
    <w:rsid w:val="00F715F2"/>
    <w:rsid w:val="00F72516"/>
    <w:rsid w:val="00F7294C"/>
    <w:rsid w:val="00F73471"/>
    <w:rsid w:val="00F738C1"/>
    <w:rsid w:val="00F7561E"/>
    <w:rsid w:val="00F7776B"/>
    <w:rsid w:val="00F811A6"/>
    <w:rsid w:val="00F81D72"/>
    <w:rsid w:val="00F82A96"/>
    <w:rsid w:val="00F840EF"/>
    <w:rsid w:val="00F86010"/>
    <w:rsid w:val="00F86121"/>
    <w:rsid w:val="00F906EA"/>
    <w:rsid w:val="00F93032"/>
    <w:rsid w:val="00F93A99"/>
    <w:rsid w:val="00F9591D"/>
    <w:rsid w:val="00F97B3C"/>
    <w:rsid w:val="00FA0060"/>
    <w:rsid w:val="00FA0807"/>
    <w:rsid w:val="00FA17F2"/>
    <w:rsid w:val="00FA541A"/>
    <w:rsid w:val="00FB0D46"/>
    <w:rsid w:val="00FB163A"/>
    <w:rsid w:val="00FB167A"/>
    <w:rsid w:val="00FB1BC9"/>
    <w:rsid w:val="00FB1EC4"/>
    <w:rsid w:val="00FB2620"/>
    <w:rsid w:val="00FB3923"/>
    <w:rsid w:val="00FB40B8"/>
    <w:rsid w:val="00FB4AE3"/>
    <w:rsid w:val="00FB4D85"/>
    <w:rsid w:val="00FB5A9F"/>
    <w:rsid w:val="00FB79B7"/>
    <w:rsid w:val="00FB7E2F"/>
    <w:rsid w:val="00FC27F3"/>
    <w:rsid w:val="00FC4652"/>
    <w:rsid w:val="00FC57B4"/>
    <w:rsid w:val="00FC777E"/>
    <w:rsid w:val="00FC7C09"/>
    <w:rsid w:val="00FC7CE3"/>
    <w:rsid w:val="00FD02DB"/>
    <w:rsid w:val="00FD1458"/>
    <w:rsid w:val="00FD2F84"/>
    <w:rsid w:val="00FD30BD"/>
    <w:rsid w:val="00FD3DEC"/>
    <w:rsid w:val="00FD7AAD"/>
    <w:rsid w:val="00FE1055"/>
    <w:rsid w:val="00FE3C55"/>
    <w:rsid w:val="00FE4FD6"/>
    <w:rsid w:val="00FE6B66"/>
    <w:rsid w:val="00FE7A11"/>
    <w:rsid w:val="00FE7DDC"/>
    <w:rsid w:val="00FE7FB7"/>
    <w:rsid w:val="00FF1356"/>
    <w:rsid w:val="00FF35D1"/>
    <w:rsid w:val="00FF47B3"/>
    <w:rsid w:val="00FF67DE"/>
    <w:rsid w:val="017620B4"/>
    <w:rsid w:val="046C1B99"/>
    <w:rsid w:val="08602EE2"/>
    <w:rsid w:val="0B66195F"/>
    <w:rsid w:val="11B62016"/>
    <w:rsid w:val="144B31D1"/>
    <w:rsid w:val="18322ABF"/>
    <w:rsid w:val="198319AB"/>
    <w:rsid w:val="1ABB4B1F"/>
    <w:rsid w:val="1D5A2E72"/>
    <w:rsid w:val="1E63509C"/>
    <w:rsid w:val="21616243"/>
    <w:rsid w:val="237C79CB"/>
    <w:rsid w:val="270A7844"/>
    <w:rsid w:val="291A6542"/>
    <w:rsid w:val="307C66D4"/>
    <w:rsid w:val="338D4DB4"/>
    <w:rsid w:val="34E01907"/>
    <w:rsid w:val="39096C15"/>
    <w:rsid w:val="3ACF13F8"/>
    <w:rsid w:val="41D76D9C"/>
    <w:rsid w:val="41DF2435"/>
    <w:rsid w:val="44CE4524"/>
    <w:rsid w:val="4B1355B6"/>
    <w:rsid w:val="4C236ABB"/>
    <w:rsid w:val="54567781"/>
    <w:rsid w:val="54B22E10"/>
    <w:rsid w:val="55C2029D"/>
    <w:rsid w:val="5AA8066B"/>
    <w:rsid w:val="67505018"/>
    <w:rsid w:val="719B365E"/>
    <w:rsid w:val="74011ABE"/>
    <w:rsid w:val="75F53987"/>
    <w:rsid w:val="7A326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楷体_GBK" w:cs="方正楷体_GBK"/>
      <w:color w:val="000000"/>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semiHidden/>
    <w:unhideWhenUsed/>
    <w:qFormat/>
    <w:uiPriority w:val="99"/>
    <w:pPr>
      <w:jc w:val="left"/>
    </w:pPr>
  </w:style>
  <w:style w:type="paragraph" w:styleId="3">
    <w:name w:val="Date"/>
    <w:basedOn w:val="1"/>
    <w:next w:val="1"/>
    <w:link w:val="15"/>
    <w:unhideWhenUsed/>
    <w:qFormat/>
    <w:uiPriority w:val="99"/>
    <w:pPr>
      <w:ind w:left="100" w:leftChars="2500"/>
    </w:pPr>
  </w:style>
  <w:style w:type="paragraph" w:styleId="4">
    <w:name w:val="Balloon Text"/>
    <w:basedOn w:val="1"/>
    <w:link w:val="13"/>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20"/>
    <w:semiHidden/>
    <w:unhideWhenUsed/>
    <w:qFormat/>
    <w:uiPriority w:val="99"/>
    <w:rPr>
      <w:b/>
      <w:bCs/>
    </w:rPr>
  </w:style>
  <w:style w:type="character" w:styleId="10">
    <w:name w:val="annotation reference"/>
    <w:basedOn w:val="9"/>
    <w:semiHidden/>
    <w:unhideWhenUsed/>
    <w:qFormat/>
    <w:uiPriority w:val="99"/>
    <w:rPr>
      <w:sz w:val="21"/>
      <w:szCs w:val="21"/>
    </w:rPr>
  </w:style>
  <w:style w:type="character" w:customStyle="1" w:styleId="11">
    <w:name w:val="页眉 Char"/>
    <w:basedOn w:val="9"/>
    <w:link w:val="6"/>
    <w:qFormat/>
    <w:uiPriority w:val="99"/>
    <w:rPr>
      <w:kern w:val="0"/>
      <w:sz w:val="18"/>
      <w:szCs w:val="18"/>
    </w:rPr>
  </w:style>
  <w:style w:type="character" w:customStyle="1" w:styleId="12">
    <w:name w:val="页脚 Char"/>
    <w:basedOn w:val="9"/>
    <w:link w:val="5"/>
    <w:qFormat/>
    <w:uiPriority w:val="99"/>
    <w:rPr>
      <w:kern w:val="0"/>
      <w:sz w:val="18"/>
      <w:szCs w:val="18"/>
    </w:rPr>
  </w:style>
  <w:style w:type="character" w:customStyle="1" w:styleId="13">
    <w:name w:val="批注框文本 Char"/>
    <w:basedOn w:val="9"/>
    <w:link w:val="4"/>
    <w:semiHidden/>
    <w:qFormat/>
    <w:uiPriority w:val="99"/>
    <w:rPr>
      <w:kern w:val="0"/>
      <w:sz w:val="18"/>
      <w:szCs w:val="18"/>
    </w:rPr>
  </w:style>
  <w:style w:type="paragraph" w:customStyle="1" w:styleId="14">
    <w:name w:val="列出段落1"/>
    <w:basedOn w:val="1"/>
    <w:qFormat/>
    <w:uiPriority w:val="34"/>
    <w:pPr>
      <w:ind w:firstLine="420" w:firstLineChars="200"/>
    </w:pPr>
  </w:style>
  <w:style w:type="character" w:customStyle="1" w:styleId="15">
    <w:name w:val="日期 Char"/>
    <w:basedOn w:val="9"/>
    <w:link w:val="3"/>
    <w:semiHidden/>
    <w:qFormat/>
    <w:uiPriority w:val="99"/>
    <w:rPr>
      <w:kern w:val="0"/>
      <w:sz w:val="20"/>
      <w:szCs w:val="20"/>
    </w:rPr>
  </w:style>
  <w:style w:type="paragraph" w:customStyle="1" w:styleId="16">
    <w:name w:val="Char1 Char Char Char"/>
    <w:basedOn w:val="1"/>
    <w:qFormat/>
    <w:uiPriority w:val="0"/>
    <w:pPr>
      <w:tabs>
        <w:tab w:val="left" w:pos="420"/>
      </w:tabs>
      <w:ind w:left="420" w:hanging="420"/>
    </w:pPr>
    <w:rPr>
      <w:rFonts w:ascii="Tahoma" w:hAnsi="Tahoma" w:eastAsia="宋体" w:cs="Times New Roman"/>
      <w:color w:val="auto"/>
      <w:kern w:val="2"/>
      <w:sz w:val="28"/>
    </w:rPr>
  </w:style>
  <w:style w:type="paragraph" w:customStyle="1" w:styleId="17">
    <w:name w:val="正文样式wl"/>
    <w:basedOn w:val="1"/>
    <w:qFormat/>
    <w:uiPriority w:val="0"/>
    <w:pPr>
      <w:spacing w:line="560" w:lineRule="exact"/>
    </w:pPr>
    <w:rPr>
      <w:rFonts w:ascii="仿宋" w:hAnsi="仿宋" w:eastAsia="仿宋"/>
      <w:sz w:val="28"/>
      <w:szCs w:val="28"/>
    </w:rPr>
  </w:style>
  <w:style w:type="paragraph" w:styleId="18">
    <w:name w:val="List Paragraph"/>
    <w:basedOn w:val="1"/>
    <w:unhideWhenUsed/>
    <w:qFormat/>
    <w:uiPriority w:val="99"/>
    <w:pPr>
      <w:ind w:firstLine="420" w:firstLineChars="200"/>
    </w:pPr>
  </w:style>
  <w:style w:type="character" w:customStyle="1" w:styleId="19">
    <w:name w:val="批注文字 Char"/>
    <w:basedOn w:val="9"/>
    <w:link w:val="2"/>
    <w:semiHidden/>
    <w:qFormat/>
    <w:uiPriority w:val="99"/>
    <w:rPr>
      <w:rFonts w:ascii="Times New Roman" w:hAnsi="Times New Roman" w:eastAsia="方正楷体_GBK" w:cs="方正楷体_GBK"/>
      <w:color w:val="000000"/>
    </w:rPr>
  </w:style>
  <w:style w:type="character" w:customStyle="1" w:styleId="20">
    <w:name w:val="批注主题 Char"/>
    <w:basedOn w:val="19"/>
    <w:link w:val="7"/>
    <w:semiHidden/>
    <w:qFormat/>
    <w:uiPriority w:val="99"/>
    <w:rPr>
      <w:rFonts w:ascii="Times New Roman" w:hAnsi="Times New Roman" w:eastAsia="方正楷体_GBK" w:cs="方正楷体_GBK"/>
      <w:b/>
      <w:bCs/>
      <w:color w:val="00000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E0B298-B6F4-4002-86FA-E292FD14A13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3715</Words>
  <Characters>3726</Characters>
  <Lines>27</Lines>
  <Paragraphs>7</Paragraphs>
  <TotalTime>7</TotalTime>
  <ScaleCrop>false</ScaleCrop>
  <LinksUpToDate>false</LinksUpToDate>
  <CharactersWithSpaces>3727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2023-04-19T02:57:00Z</dcterms:created>
  <dc:creator>PC</dc:creator>
  <cp:lastModifiedBy>Sun N-N</cp:lastModifiedBy>
  <cp:lastPrinted>2023-04-19T01:19:00Z</cp:lastPrinted>
  <dcterms:modified xsi:type="dcterms:W3CDTF">2023-04-26T09:34:33Z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6F5BB82CEA8848509D1818A95C348218</vt:lpwstr>
  </property>
  <property fmtid="{D5CDD505-2E9C-101B-9397-08002B2CF9AE}" pid="4" name="GrammarlyDocumentId">
    <vt:lpwstr>5dc9343d45ab8ee73a5d2b1e6cf69ff2e1a424e51bf5be16ca01e0dc86904358</vt:lpwstr>
  </property>
</Properties>
</file>